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DFAD3" w14:textId="77777777" w:rsidR="00DA265E" w:rsidRPr="00DA265E" w:rsidRDefault="00DA265E" w:rsidP="00DA265E">
      <w:pPr>
        <w:wordWrap w:val="0"/>
        <w:outlineLvl w:val="1"/>
        <w:rPr>
          <w:rFonts w:ascii="Lato" w:eastAsia="Times New Roman" w:hAnsi="Lato"/>
          <w:color w:val="2D3B45"/>
          <w:kern w:val="0"/>
          <w:sz w:val="43"/>
          <w:szCs w:val="43"/>
          <w14:ligatures w14:val="none"/>
        </w:rPr>
      </w:pPr>
      <w:r w:rsidRPr="00DA265E">
        <w:rPr>
          <w:rFonts w:ascii="Lato" w:eastAsia="Times New Roman" w:hAnsi="Lato"/>
          <w:color w:val="2D3B45"/>
          <w:kern w:val="0"/>
          <w:sz w:val="43"/>
          <w:szCs w:val="43"/>
          <w14:ligatures w14:val="none"/>
        </w:rPr>
        <w:t>FA23: INTRO TO RESEARCH ETHICS: 22403</w:t>
      </w:r>
    </w:p>
    <w:p w14:paraId="619C1CEF"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Course Syllabus</w:t>
      </w:r>
    </w:p>
    <w:p w14:paraId="3D0EE414"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b/>
          <w:bCs/>
          <w:color w:val="2D3B45"/>
          <w:kern w:val="0"/>
          <w14:ligatures w14:val="none"/>
        </w:rPr>
        <w:t>INTRODUCTION TO RESEARCH ETHICS</w:t>
      </w:r>
    </w:p>
    <w:p w14:paraId="7F50A948"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b/>
          <w:bCs/>
          <w:color w:val="2D3B45"/>
          <w:kern w:val="0"/>
          <w14:ligatures w14:val="none"/>
        </w:rPr>
        <w:t>G-504 (33207)/MHHS M-504 (33490)</w:t>
      </w:r>
    </w:p>
    <w:p w14:paraId="547B1D13"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 </w:t>
      </w:r>
    </w:p>
    <w:p w14:paraId="12174DBA"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Course Director: Colin Halverson, PhD (</w:t>
      </w:r>
      <w:hyperlink r:id="rId5" w:history="1">
        <w:r w:rsidRPr="00DA265E">
          <w:rPr>
            <w:rFonts w:ascii="Lato" w:eastAsia="Times New Roman" w:hAnsi="Lato"/>
            <w:color w:val="0000FF"/>
            <w:kern w:val="0"/>
            <w:u w:val="single"/>
            <w14:ligatures w14:val="none"/>
          </w:rPr>
          <w:t>chalver@iu.edu</w:t>
        </w:r>
      </w:hyperlink>
      <w:r w:rsidRPr="00DA265E">
        <w:rPr>
          <w:rFonts w:ascii="Lato" w:eastAsia="Times New Roman" w:hAnsi="Lato"/>
          <w:color w:val="2D3B45"/>
          <w:kern w:val="0"/>
          <w14:ligatures w14:val="none"/>
        </w:rPr>
        <w:t>)</w:t>
      </w:r>
    </w:p>
    <w:p w14:paraId="230D9AA9"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TA: Pierce Logan (</w:t>
      </w:r>
      <w:hyperlink r:id="rId6" w:history="1">
        <w:r w:rsidRPr="00DA265E">
          <w:rPr>
            <w:rFonts w:ascii="Lato" w:eastAsia="Times New Roman" w:hAnsi="Lato"/>
            <w:color w:val="0000FF"/>
            <w:kern w:val="0"/>
            <w:u w:val="single"/>
            <w14:ligatures w14:val="none"/>
          </w:rPr>
          <w:t>pielogan@iu.edu</w:t>
        </w:r>
      </w:hyperlink>
      <w:r w:rsidRPr="00DA265E">
        <w:rPr>
          <w:rFonts w:ascii="Lato" w:eastAsia="Times New Roman" w:hAnsi="Lato"/>
          <w:color w:val="2D3B45"/>
          <w:kern w:val="0"/>
          <w14:ligatures w14:val="none"/>
        </w:rPr>
        <w:t>)</w:t>
      </w:r>
    </w:p>
    <w:p w14:paraId="5BF300D0"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Time: Thursdays 2-4:40 p.m.</w:t>
      </w:r>
    </w:p>
    <w:p w14:paraId="147306FA"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Location: Nursing School NU221</w:t>
      </w:r>
    </w:p>
    <w:p w14:paraId="1BDF6F60"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Office Phone: 278-4038 (Bioethics)</w:t>
      </w:r>
    </w:p>
    <w:p w14:paraId="65C08572"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Office hours: By appointment call 278-4038 (Bioethics)</w:t>
      </w:r>
    </w:p>
    <w:p w14:paraId="25CC62DF"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 </w:t>
      </w:r>
    </w:p>
    <w:p w14:paraId="2CF9D38A"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 </w:t>
      </w:r>
    </w:p>
    <w:p w14:paraId="07351666"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Background</w:t>
      </w:r>
    </w:p>
    <w:p w14:paraId="1AA9028D"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The course covers a range of key issues related to scientific integrity and the responsible conduct of research, including policies and procedures related to scientific misconduct, authorship and peer review, conflicts of interest, the use of humans and animals in biomedical research, international research and ethical issues related to genetic technology.  This course also satisfies NIH requirements for training in responsible conduct of research (RCR), which has been required for all pre-doctoral and postdoctoral trainees supported by training grants since 1996.</w:t>
      </w:r>
    </w:p>
    <w:p w14:paraId="60D3973D"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Purpose</w:t>
      </w:r>
    </w:p>
    <w:p w14:paraId="305DEBF5"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 xml:space="preserve">The goals of this course are practical. While many people may think of broad, philosophical concerns when they hear the word “ethics,” our purpose is to learn about the regulations and standards of behavior that exist in contemporary healthcare research. We will develop skills for dealing with difficult, real-life problems that researchers face in their professional lives, and discover the groups and individuals available to help you when issues get thorny. There aren’t hard-and-fast rules to correspond to every unique and particular problem that researchers encounter in their daily work. Thus, in our course, students explore a wide range of topics in research ethics and learn to apply these insights creatively and expansively to their own lives. We will discuss how standards of conduct vary from community to community, discipline to discipline, and allowing students to cultivate an awareness of and dexterity with these </w:t>
      </w:r>
      <w:r w:rsidRPr="00DA265E">
        <w:rPr>
          <w:rFonts w:ascii="Lato" w:eastAsia="Times New Roman" w:hAnsi="Lato"/>
          <w:color w:val="2D3B45"/>
          <w:kern w:val="0"/>
          <w14:ligatures w14:val="none"/>
        </w:rPr>
        <w:lastRenderedPageBreak/>
        <w:t>different principles so that they can justify plans of action both to themselves and to others.</w:t>
      </w:r>
    </w:p>
    <w:p w14:paraId="1E31E5F4"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About the Course Director</w:t>
      </w:r>
    </w:p>
    <w:p w14:paraId="7B4F9435"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Colin Halverson is an assistant professor of medicine and anthropology and IUPUI. He has a PhD in medical and linguistic anthropology from the University of Chicago and wrote his dissertation on ethics and communication issues in precision medicine at Mayo Clinic. He has completed two fellowships in medical ethics, including a postdoc at Vanderbilt University. His current research continues to center on ethics issues related to the return of results in medical genetics and the diagnostic odyssey experienced by patients with rare and undiagnosed diseases. His other academic interests include invertebrate research ethics, sociolinguistics and semiotics, and medical interpretation.</w:t>
      </w:r>
    </w:p>
    <w:p w14:paraId="36F5BBE7"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Course Goals </w:t>
      </w:r>
    </w:p>
    <w:p w14:paraId="0C365022"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By the end of this course, students will be able to:</w:t>
      </w:r>
    </w:p>
    <w:p w14:paraId="1AACD935" w14:textId="77777777" w:rsidR="00DA265E" w:rsidRPr="00DA265E" w:rsidRDefault="00DA265E" w:rsidP="00DA265E">
      <w:pPr>
        <w:numPr>
          <w:ilvl w:val="0"/>
          <w:numId w:val="1"/>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Demonstrate the skills needed to solve problems involving relevant topic areas of the responsible conduct of research.</w:t>
      </w:r>
    </w:p>
    <w:p w14:paraId="74158A36" w14:textId="77777777" w:rsidR="00DA265E" w:rsidRPr="00DA265E" w:rsidRDefault="00DA265E" w:rsidP="00DA265E">
      <w:pPr>
        <w:numPr>
          <w:ilvl w:val="0"/>
          <w:numId w:val="1"/>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Clearly articulate both verbally and in writing ethical and legally acceptable solutions to problems that arise in the conduct of science.</w:t>
      </w:r>
    </w:p>
    <w:p w14:paraId="79643027" w14:textId="77777777" w:rsidR="00DA265E" w:rsidRPr="00DA265E" w:rsidRDefault="00DA265E" w:rsidP="00DA265E">
      <w:pPr>
        <w:numPr>
          <w:ilvl w:val="0"/>
          <w:numId w:val="1"/>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Propose and critically analyze solutions to problems in the context of relevant written codes and unwritten conventions.</w:t>
      </w:r>
    </w:p>
    <w:p w14:paraId="13982FA6" w14:textId="77777777" w:rsidR="00DA265E" w:rsidRPr="00DA265E" w:rsidRDefault="00DA265E" w:rsidP="00DA265E">
      <w:pPr>
        <w:numPr>
          <w:ilvl w:val="0"/>
          <w:numId w:val="1"/>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Develop an interest in and a positive attitude toward lifelong learning in matters of scientific integrity and the responsible conduct of their chosen profession.        </w:t>
      </w:r>
    </w:p>
    <w:p w14:paraId="5068A0EF"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Course Objective</w:t>
      </w:r>
    </w:p>
    <w:p w14:paraId="58F2E26A"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The primary objective of this course is to provide graduate students, postdoctoral students, and faculty with skills and resources key to their professional success.  These objectives include:</w:t>
      </w:r>
    </w:p>
    <w:p w14:paraId="78E4E46E" w14:textId="77777777" w:rsidR="00DA265E" w:rsidRPr="00DA265E" w:rsidRDefault="00DA265E" w:rsidP="00DA265E">
      <w:pPr>
        <w:numPr>
          <w:ilvl w:val="0"/>
          <w:numId w:val="2"/>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To refine and define expected standards of conduct.</w:t>
      </w:r>
    </w:p>
    <w:p w14:paraId="001C4DB2" w14:textId="77777777" w:rsidR="00DA265E" w:rsidRPr="00DA265E" w:rsidRDefault="00DA265E" w:rsidP="00DA265E">
      <w:pPr>
        <w:numPr>
          <w:ilvl w:val="0"/>
          <w:numId w:val="2"/>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To increase your confidence in dealing with difficult issues.</w:t>
      </w:r>
    </w:p>
    <w:p w14:paraId="58DD5132" w14:textId="77777777" w:rsidR="00DA265E" w:rsidRPr="00DA265E" w:rsidRDefault="00DA265E" w:rsidP="00DA265E">
      <w:pPr>
        <w:numPr>
          <w:ilvl w:val="0"/>
          <w:numId w:val="2"/>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To meet current NIH requirements for formal training in research ethics.</w:t>
      </w:r>
    </w:p>
    <w:p w14:paraId="3D80D976"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Texts</w:t>
      </w:r>
    </w:p>
    <w:p w14:paraId="1323541E"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Weekly readings will be provided via the Canvas course page. They are divided into </w:t>
      </w:r>
      <w:r w:rsidRPr="00DA265E">
        <w:rPr>
          <w:rFonts w:ascii="Lato" w:eastAsia="Times New Roman" w:hAnsi="Lato"/>
          <w:color w:val="2D3B45"/>
          <w:kern w:val="0"/>
          <w:u w:val="single"/>
          <w14:ligatures w14:val="none"/>
        </w:rPr>
        <w:t>required</w:t>
      </w:r>
      <w:r w:rsidRPr="00DA265E">
        <w:rPr>
          <w:rFonts w:ascii="Lato" w:eastAsia="Times New Roman" w:hAnsi="Lato"/>
          <w:color w:val="2D3B45"/>
          <w:kern w:val="0"/>
          <w14:ligatures w14:val="none"/>
        </w:rPr>
        <w:t> readings that are necessary for students to have read in order to participate in class and those that are </w:t>
      </w:r>
      <w:r w:rsidRPr="00DA265E">
        <w:rPr>
          <w:rFonts w:ascii="Lato" w:eastAsia="Times New Roman" w:hAnsi="Lato"/>
          <w:color w:val="2D3B45"/>
          <w:kern w:val="0"/>
          <w:u w:val="single"/>
          <w14:ligatures w14:val="none"/>
        </w:rPr>
        <w:t>optional</w:t>
      </w:r>
      <w:r w:rsidRPr="00DA265E">
        <w:rPr>
          <w:rFonts w:ascii="Lato" w:eastAsia="Times New Roman" w:hAnsi="Lato"/>
          <w:color w:val="2D3B45"/>
          <w:kern w:val="0"/>
          <w14:ligatures w14:val="none"/>
        </w:rPr>
        <w:t> for students with special interest in that week’s topic.</w:t>
      </w:r>
    </w:p>
    <w:p w14:paraId="4D5ECAFB"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Exams</w:t>
      </w:r>
    </w:p>
    <w:p w14:paraId="489DCEFB"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lastRenderedPageBreak/>
        <w:t>Both the midterm and the final exam will be take-home, open-book exams, which students will have 7 days to complete. The questions will be posted on Canvas and students will submit their answers on Canvas. The final exam is not cumulative; it will cover primarily the second half of the class. If you read this, please send Colin and Pierce a YouTube link to your favorite 90s music video for a bonus point.</w:t>
      </w:r>
    </w:p>
    <w:p w14:paraId="691A5E2E"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If there is a problem handing in an exam on time, the TA or professor must be informed prior to the due date.  We know that you are all busy and will try to be flexible.  </w:t>
      </w:r>
      <w:r w:rsidRPr="00DA265E">
        <w:rPr>
          <w:rFonts w:ascii="Lato" w:eastAsia="Times New Roman" w:hAnsi="Lato"/>
          <w:color w:val="2D3B45"/>
          <w:kern w:val="0"/>
          <w:u w:val="single"/>
          <w14:ligatures w14:val="none"/>
        </w:rPr>
        <w:t>If, for some reason, you cannot hand in an assignment on time, without previous agreement to a later due date, one letter grade will be subtracted for each day that the assignment is late.</w:t>
      </w:r>
      <w:r w:rsidRPr="00DA265E">
        <w:rPr>
          <w:rFonts w:ascii="Lato" w:eastAsia="Times New Roman" w:hAnsi="Lato"/>
          <w:color w:val="2D3B45"/>
          <w:kern w:val="0"/>
          <w14:ligatures w14:val="none"/>
        </w:rPr>
        <w:t> </w:t>
      </w:r>
    </w:p>
    <w:p w14:paraId="339BF33D"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Plagiarism and Academic Dishonesty</w:t>
      </w:r>
    </w:p>
    <w:p w14:paraId="00CF2D8D"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Be sure you understand the school's policy on plagiarism (copying). Those guilty of plagiarism will be dealt with in accordance with the regulations spelled out in the code. Moreover, use of AI language models, even to assist in any assignments, is considered academic dishonestly, and you will receive no credit for assignments completed in this manner.</w:t>
      </w:r>
    </w:p>
    <w:p w14:paraId="27132B27"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IRB Attendance</w:t>
      </w:r>
    </w:p>
    <w:p w14:paraId="256B4219"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Attendance at one IRB meeting is required. The meeting will provide invaluable experience of a process in which you will engage during your research career. All meetings are now taking place over Zoom. Students need to schedule their visit date in advance with Megan Bettag (</w:t>
      </w:r>
      <w:hyperlink r:id="rId7" w:history="1">
        <w:r w:rsidRPr="00DA265E">
          <w:rPr>
            <w:rFonts w:ascii="Lato" w:eastAsia="Times New Roman" w:hAnsi="Lato"/>
            <w:color w:val="0000FF"/>
            <w:kern w:val="0"/>
            <w:u w:val="single"/>
            <w14:ligatures w14:val="none"/>
          </w:rPr>
          <w:t>mbettag@iu.edu</w:t>
        </w:r>
      </w:hyperlink>
      <w:r w:rsidRPr="00DA265E">
        <w:rPr>
          <w:rFonts w:ascii="Lato" w:eastAsia="Times New Roman" w:hAnsi="Lato"/>
          <w:color w:val="2D3B45"/>
          <w:kern w:val="0"/>
          <w14:ligatures w14:val="none"/>
        </w:rPr>
        <w:t>). Please email him (include TA: </w:t>
      </w:r>
      <w:hyperlink r:id="rId8" w:history="1">
        <w:r w:rsidRPr="00DA265E">
          <w:rPr>
            <w:rFonts w:ascii="Lato" w:eastAsia="Times New Roman" w:hAnsi="Lato"/>
            <w:color w:val="0000FF"/>
            <w:kern w:val="0"/>
            <w:u w:val="single"/>
            <w14:ligatures w14:val="none"/>
          </w:rPr>
          <w:t>pielogan@iu.edu</w:t>
        </w:r>
      </w:hyperlink>
      <w:r w:rsidRPr="00DA265E">
        <w:rPr>
          <w:rFonts w:ascii="Lato" w:eastAsia="Times New Roman" w:hAnsi="Lato"/>
          <w:color w:val="2D3B45"/>
          <w:kern w:val="0"/>
          <w14:ligatures w14:val="none"/>
        </w:rPr>
        <w:t>) with your requested date. Students will be required to sign and send back a </w:t>
      </w:r>
      <w:r w:rsidRPr="00DA265E">
        <w:rPr>
          <w:rFonts w:ascii="Lato" w:eastAsia="Times New Roman" w:hAnsi="Lato"/>
          <w:color w:val="2D3B45"/>
          <w:kern w:val="0"/>
          <w:u w:val="single"/>
          <w14:ligatures w14:val="none"/>
        </w:rPr>
        <w:t>Confidentiality Agreement</w:t>
      </w:r>
      <w:r w:rsidRPr="00DA265E">
        <w:rPr>
          <w:rFonts w:ascii="Lato" w:eastAsia="Times New Roman" w:hAnsi="Lato"/>
          <w:color w:val="2D3B45"/>
          <w:kern w:val="0"/>
          <w14:ligatures w14:val="none"/>
        </w:rPr>
        <w:t> with the correct date and time before the meeting. Students must enter the Zoom room a few minutes early so that they can be introduced.</w:t>
      </w:r>
    </w:p>
    <w:p w14:paraId="1ED390A3"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Students are expected to take notes during the meeting and summarize the key issues in responsible conduct of research in a 1-page reflection paper about the ethical issues the IRB considers. This is due one week after the date of their IRB meeting and should be sent to both Colin and Pierce.</w:t>
      </w:r>
    </w:p>
    <w:p w14:paraId="35608D5A"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Grading</w:t>
      </w:r>
    </w:p>
    <w:p w14:paraId="541B8681"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Class attendance and participation are key aspects of the course. Students are expected to complete required readings prior to class in order to be able to participate actively in class discussions. Participation will be counted as verbally responding to the presenter, asking questions or making comments, and/or engaging actively in group work. This requires also that students are present in a majority of class sessions. In order to receive an A in participation and attendance, students must attend at least 80% of class sessions and participate as described. In the event that a student is unable to attend a class, they must communicate this with the TA prior to the class session and arrange to make up the material on their own time.</w:t>
      </w:r>
    </w:p>
    <w:p w14:paraId="3F03EC07"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lastRenderedPageBreak/>
        <w:t>Classes will meet in person. Students will be required to attend and participate in discussions as explained above.</w:t>
      </w:r>
    </w:p>
    <w:p w14:paraId="14828CA8"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Grading for the course is as follows:</w:t>
      </w:r>
    </w:p>
    <w:p w14:paraId="6F5AC0C6" w14:textId="77777777" w:rsidR="00DA265E" w:rsidRPr="00DA265E" w:rsidRDefault="00DA265E" w:rsidP="00DA265E">
      <w:pPr>
        <w:numPr>
          <w:ilvl w:val="0"/>
          <w:numId w:val="3"/>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b/>
          <w:bCs/>
          <w:color w:val="2D3B45"/>
          <w:kern w:val="0"/>
          <w14:ligatures w14:val="none"/>
        </w:rPr>
        <w:t>Attendance and Participation – 20%</w:t>
      </w:r>
      <w:r w:rsidRPr="00DA265E">
        <w:rPr>
          <w:rFonts w:ascii="Lato" w:eastAsia="Times New Roman" w:hAnsi="Lato"/>
          <w:b/>
          <w:bCs/>
          <w:color w:val="2D3B45"/>
          <w:kern w:val="0"/>
          <w14:ligatures w14:val="none"/>
        </w:rPr>
        <w:br/>
      </w:r>
      <w:r w:rsidRPr="00DA265E">
        <w:rPr>
          <w:rFonts w:ascii="Lato" w:eastAsia="Times New Roman" w:hAnsi="Lato"/>
          <w:color w:val="2D3B45"/>
          <w:kern w:val="0"/>
          <w14:ligatures w14:val="none"/>
        </w:rPr>
        <w:t>Students are required to attend class and contribute meaningfully to discussion. In order to receive an A for Attendance and Participation, students must attend ≥80% of the classes and participate actively in the majority of these classes. Active participation includes speaking at least once during each session. Students are expected to enter the classroom prepared and on time and to stay for the entirety of the class. Students may request up to three excused absences in advance of the session; any sessions missed beyond those three will result in a docked grade and students will be required to write a response paper to the missed session.</w:t>
      </w:r>
    </w:p>
    <w:p w14:paraId="07A27188" w14:textId="77777777" w:rsidR="00DA265E" w:rsidRPr="00DA265E" w:rsidRDefault="00DA265E" w:rsidP="00DA265E">
      <w:pPr>
        <w:numPr>
          <w:ilvl w:val="0"/>
          <w:numId w:val="3"/>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b/>
          <w:bCs/>
          <w:color w:val="2D3B45"/>
          <w:kern w:val="0"/>
          <w14:ligatures w14:val="none"/>
        </w:rPr>
        <w:t>Writing assignments – 10%</w:t>
      </w:r>
      <w:r w:rsidRPr="00DA265E">
        <w:rPr>
          <w:rFonts w:ascii="Lato" w:eastAsia="Times New Roman" w:hAnsi="Lato"/>
          <w:color w:val="2D3B45"/>
          <w:kern w:val="0"/>
          <w14:ligatures w14:val="none"/>
        </w:rPr>
        <w:br/>
        <w:t>Students are required to attend one virtual IRB session. They must submit a one-page reflection paper on the experience, summarizing the cases, noting strengths and weaknesses of the studies they discussed.</w:t>
      </w:r>
    </w:p>
    <w:p w14:paraId="7DEA1CC9" w14:textId="77777777" w:rsidR="00DA265E" w:rsidRPr="00DA265E" w:rsidRDefault="00DA265E" w:rsidP="00DA265E">
      <w:pPr>
        <w:numPr>
          <w:ilvl w:val="0"/>
          <w:numId w:val="3"/>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b/>
          <w:bCs/>
          <w:color w:val="2D3B45"/>
          <w:kern w:val="0"/>
          <w14:ligatures w14:val="none"/>
        </w:rPr>
        <w:t>Midterm examination – 35%</w:t>
      </w:r>
      <w:r w:rsidRPr="00DA265E">
        <w:rPr>
          <w:rFonts w:ascii="Lato" w:eastAsia="Times New Roman" w:hAnsi="Lato"/>
          <w:b/>
          <w:bCs/>
          <w:color w:val="2D3B45"/>
          <w:kern w:val="0"/>
          <w14:ligatures w14:val="none"/>
        </w:rPr>
        <w:br/>
      </w:r>
      <w:r w:rsidRPr="00DA265E">
        <w:rPr>
          <w:rFonts w:ascii="Lato" w:eastAsia="Times New Roman" w:hAnsi="Lato"/>
          <w:color w:val="2D3B45"/>
          <w:kern w:val="0"/>
          <w14:ligatures w14:val="none"/>
        </w:rPr>
        <w:t>Students must respond to all questions. In the “Short Answer” section, students may write two or three sentences. However, in the “Essay” section, responses must be much more extensive. In order to receive an A on these questions, students must respond in essay format: an introduction with thesis statement, body, and conclusion. They must use appropriate spelling and grammar. Students must reference readings and lectures from class as evidence for a clear argument, demonstrating an understanding of themes and concepts from the course. Any citations from outside the course reading list must be made available upon request for full credit. Use of false sources is a sign of the assistance of AI language models and their use is considered academic dishonesty.</w:t>
      </w:r>
      <w:r w:rsidRPr="00DA265E">
        <w:rPr>
          <w:rFonts w:ascii="Lato" w:eastAsia="Times New Roman" w:hAnsi="Lato"/>
          <w:color w:val="2D3B45"/>
          <w:kern w:val="0"/>
          <w14:ligatures w14:val="none"/>
        </w:rPr>
        <w:br/>
      </w:r>
      <w:r w:rsidRPr="00DA265E">
        <w:rPr>
          <w:rFonts w:ascii="Lato" w:eastAsia="Times New Roman" w:hAnsi="Lato"/>
          <w:i/>
          <w:iCs/>
          <w:color w:val="2D3B45"/>
          <w:kern w:val="0"/>
          <w14:ligatures w14:val="none"/>
        </w:rPr>
        <w:t>POSTED: October 5</w:t>
      </w:r>
      <w:r w:rsidRPr="00DA265E">
        <w:rPr>
          <w:rFonts w:ascii="Lato" w:eastAsia="Times New Roman" w:hAnsi="Lato"/>
          <w:i/>
          <w:iCs/>
          <w:color w:val="2D3B45"/>
          <w:kern w:val="0"/>
          <w14:ligatures w14:val="none"/>
        </w:rPr>
        <w:br/>
        <w:t>DUE: October 12</w:t>
      </w:r>
    </w:p>
    <w:p w14:paraId="195F3592" w14:textId="77777777" w:rsidR="00DA265E" w:rsidRPr="00DA265E" w:rsidRDefault="00DA265E" w:rsidP="00DA265E">
      <w:pPr>
        <w:numPr>
          <w:ilvl w:val="0"/>
          <w:numId w:val="3"/>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b/>
          <w:bCs/>
          <w:color w:val="2D3B45"/>
          <w:kern w:val="0"/>
          <w14:ligatures w14:val="none"/>
        </w:rPr>
        <w:t>Final examination – 35%</w:t>
      </w:r>
      <w:r w:rsidRPr="00DA265E">
        <w:rPr>
          <w:rFonts w:ascii="Lato" w:eastAsia="Times New Roman" w:hAnsi="Lato"/>
          <w:b/>
          <w:bCs/>
          <w:color w:val="2D3B45"/>
          <w:kern w:val="0"/>
          <w14:ligatures w14:val="none"/>
        </w:rPr>
        <w:br/>
      </w:r>
      <w:r w:rsidRPr="00DA265E">
        <w:rPr>
          <w:rFonts w:ascii="Lato" w:eastAsia="Times New Roman" w:hAnsi="Lato"/>
          <w:color w:val="2D3B45"/>
          <w:kern w:val="0"/>
          <w14:ligatures w14:val="none"/>
        </w:rPr>
        <w:t>The final examination will take the same form as the midterm examination.</w:t>
      </w:r>
      <w:r w:rsidRPr="00DA265E">
        <w:rPr>
          <w:rFonts w:ascii="Lato" w:eastAsia="Times New Roman" w:hAnsi="Lato"/>
          <w:color w:val="2D3B45"/>
          <w:kern w:val="0"/>
          <w14:ligatures w14:val="none"/>
        </w:rPr>
        <w:br/>
      </w:r>
      <w:r w:rsidRPr="00DA265E">
        <w:rPr>
          <w:rFonts w:ascii="Lato" w:eastAsia="Times New Roman" w:hAnsi="Lato"/>
          <w:i/>
          <w:iCs/>
          <w:color w:val="2D3B45"/>
          <w:kern w:val="0"/>
          <w14:ligatures w14:val="none"/>
        </w:rPr>
        <w:t>POSTED: December 5</w:t>
      </w:r>
      <w:r w:rsidRPr="00DA265E">
        <w:rPr>
          <w:rFonts w:ascii="Lato" w:eastAsia="Times New Roman" w:hAnsi="Lato"/>
          <w:i/>
          <w:iCs/>
          <w:color w:val="2D3B45"/>
          <w:kern w:val="0"/>
          <w14:ligatures w14:val="none"/>
        </w:rPr>
        <w:br/>
        <w:t>DUE: December 12</w:t>
      </w:r>
    </w:p>
    <w:p w14:paraId="7496E0C0"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Points will be added, and the grade will be calculated based on the following percentages:                                                </w:t>
      </w:r>
    </w:p>
    <w:tbl>
      <w:tblPr>
        <w:tblW w:w="7560" w:type="dxa"/>
        <w:tblCellMar>
          <w:top w:w="15" w:type="dxa"/>
          <w:left w:w="15" w:type="dxa"/>
          <w:bottom w:w="15" w:type="dxa"/>
          <w:right w:w="15" w:type="dxa"/>
        </w:tblCellMar>
        <w:tblLook w:val="04A0" w:firstRow="1" w:lastRow="0" w:firstColumn="1" w:lastColumn="0" w:noHBand="0" w:noVBand="1"/>
      </w:tblPr>
      <w:tblGrid>
        <w:gridCol w:w="750"/>
        <w:gridCol w:w="2872"/>
        <w:gridCol w:w="803"/>
        <w:gridCol w:w="3135"/>
      </w:tblGrid>
      <w:tr w:rsidR="00DA265E" w:rsidRPr="00DA265E" w14:paraId="216FC42D" w14:textId="77777777" w:rsidTr="00DA265E">
        <w:tc>
          <w:tcPr>
            <w:tcW w:w="675" w:type="dxa"/>
            <w:shd w:val="clear" w:color="auto" w:fill="auto"/>
            <w:tcMar>
              <w:top w:w="30" w:type="dxa"/>
              <w:left w:w="30" w:type="dxa"/>
              <w:bottom w:w="30" w:type="dxa"/>
              <w:right w:w="30" w:type="dxa"/>
            </w:tcMar>
            <w:vAlign w:val="center"/>
            <w:hideMark/>
          </w:tcPr>
          <w:p w14:paraId="5B39273A" w14:textId="77777777" w:rsidR="00DA265E" w:rsidRPr="00DA265E" w:rsidRDefault="00DA265E" w:rsidP="00DA265E">
            <w:pPr>
              <w:spacing w:before="180" w:after="180"/>
              <w:rPr>
                <w:rFonts w:eastAsia="Times New Roman"/>
                <w:kern w:val="0"/>
                <w14:ligatures w14:val="none"/>
              </w:rPr>
            </w:pPr>
            <w:r w:rsidRPr="00DA265E">
              <w:rPr>
                <w:rFonts w:eastAsia="Times New Roman"/>
                <w:kern w:val="0"/>
                <w14:ligatures w14:val="none"/>
              </w:rPr>
              <w:t>A+      </w:t>
            </w:r>
          </w:p>
        </w:tc>
        <w:tc>
          <w:tcPr>
            <w:tcW w:w="2790" w:type="dxa"/>
            <w:shd w:val="clear" w:color="auto" w:fill="auto"/>
            <w:tcMar>
              <w:top w:w="30" w:type="dxa"/>
              <w:left w:w="30" w:type="dxa"/>
              <w:bottom w:w="30" w:type="dxa"/>
              <w:right w:w="30" w:type="dxa"/>
            </w:tcMar>
            <w:vAlign w:val="center"/>
            <w:hideMark/>
          </w:tcPr>
          <w:p w14:paraId="3AA2B11D" w14:textId="77777777" w:rsidR="00DA265E" w:rsidRPr="00DA265E" w:rsidRDefault="00DA265E" w:rsidP="00DA265E">
            <w:pPr>
              <w:spacing w:before="180" w:after="180"/>
              <w:rPr>
                <w:rFonts w:eastAsia="Times New Roman"/>
                <w:kern w:val="0"/>
                <w14:ligatures w14:val="none"/>
              </w:rPr>
            </w:pPr>
            <w:r w:rsidRPr="00DA265E">
              <w:rPr>
                <w:rFonts w:eastAsia="Times New Roman"/>
                <w:kern w:val="0"/>
                <w14:ligatures w14:val="none"/>
              </w:rPr>
              <w:t>97- 100%</w:t>
            </w:r>
          </w:p>
        </w:tc>
        <w:tc>
          <w:tcPr>
            <w:tcW w:w="735" w:type="dxa"/>
            <w:shd w:val="clear" w:color="auto" w:fill="auto"/>
            <w:tcMar>
              <w:top w:w="30" w:type="dxa"/>
              <w:left w:w="30" w:type="dxa"/>
              <w:bottom w:w="30" w:type="dxa"/>
              <w:right w:w="30" w:type="dxa"/>
            </w:tcMar>
            <w:vAlign w:val="center"/>
            <w:hideMark/>
          </w:tcPr>
          <w:p w14:paraId="0E718599" w14:textId="77777777" w:rsidR="00DA265E" w:rsidRPr="00DA265E" w:rsidRDefault="00DA265E" w:rsidP="00DA265E">
            <w:pPr>
              <w:spacing w:before="180" w:after="180"/>
              <w:rPr>
                <w:rFonts w:eastAsia="Times New Roman"/>
                <w:kern w:val="0"/>
                <w14:ligatures w14:val="none"/>
              </w:rPr>
            </w:pPr>
            <w:r w:rsidRPr="00DA265E">
              <w:rPr>
                <w:rFonts w:eastAsia="Times New Roman"/>
                <w:kern w:val="0"/>
                <w14:ligatures w14:val="none"/>
              </w:rPr>
              <w:t>C+ </w:t>
            </w:r>
          </w:p>
        </w:tc>
        <w:tc>
          <w:tcPr>
            <w:tcW w:w="3045" w:type="dxa"/>
            <w:shd w:val="clear" w:color="auto" w:fill="auto"/>
            <w:tcMar>
              <w:top w:w="30" w:type="dxa"/>
              <w:left w:w="30" w:type="dxa"/>
              <w:bottom w:w="30" w:type="dxa"/>
              <w:right w:w="30" w:type="dxa"/>
            </w:tcMar>
            <w:vAlign w:val="center"/>
            <w:hideMark/>
          </w:tcPr>
          <w:p w14:paraId="341EECD0" w14:textId="77777777" w:rsidR="00DA265E" w:rsidRPr="00DA265E" w:rsidRDefault="00DA265E" w:rsidP="00DA265E">
            <w:pPr>
              <w:spacing w:before="180" w:after="180"/>
              <w:rPr>
                <w:rFonts w:eastAsia="Times New Roman"/>
                <w:kern w:val="0"/>
                <w14:ligatures w14:val="none"/>
              </w:rPr>
            </w:pPr>
            <w:r w:rsidRPr="00DA265E">
              <w:rPr>
                <w:rFonts w:eastAsia="Times New Roman"/>
                <w:kern w:val="0"/>
                <w14:ligatures w14:val="none"/>
              </w:rPr>
              <w:t> 77-79%        </w:t>
            </w:r>
          </w:p>
        </w:tc>
      </w:tr>
      <w:tr w:rsidR="00DA265E" w:rsidRPr="00DA265E" w14:paraId="75A350E6" w14:textId="77777777" w:rsidTr="00DA265E">
        <w:tc>
          <w:tcPr>
            <w:tcW w:w="675" w:type="dxa"/>
            <w:shd w:val="clear" w:color="auto" w:fill="auto"/>
            <w:tcMar>
              <w:top w:w="30" w:type="dxa"/>
              <w:left w:w="30" w:type="dxa"/>
              <w:bottom w:w="30" w:type="dxa"/>
              <w:right w:w="30" w:type="dxa"/>
            </w:tcMar>
            <w:vAlign w:val="center"/>
            <w:hideMark/>
          </w:tcPr>
          <w:p w14:paraId="57C5B94E" w14:textId="77777777" w:rsidR="00DA265E" w:rsidRPr="00DA265E" w:rsidRDefault="00DA265E" w:rsidP="00DA265E">
            <w:pPr>
              <w:spacing w:before="180" w:after="180"/>
              <w:rPr>
                <w:rFonts w:eastAsia="Times New Roman"/>
                <w:kern w:val="0"/>
                <w14:ligatures w14:val="none"/>
              </w:rPr>
            </w:pPr>
            <w:r w:rsidRPr="00DA265E">
              <w:rPr>
                <w:rFonts w:eastAsia="Times New Roman"/>
                <w:kern w:val="0"/>
                <w14:ligatures w14:val="none"/>
              </w:rPr>
              <w:lastRenderedPageBreak/>
              <w:t>A  </w:t>
            </w:r>
          </w:p>
        </w:tc>
        <w:tc>
          <w:tcPr>
            <w:tcW w:w="2790" w:type="dxa"/>
            <w:shd w:val="clear" w:color="auto" w:fill="auto"/>
            <w:tcMar>
              <w:top w:w="30" w:type="dxa"/>
              <w:left w:w="30" w:type="dxa"/>
              <w:bottom w:w="30" w:type="dxa"/>
              <w:right w:w="30" w:type="dxa"/>
            </w:tcMar>
            <w:vAlign w:val="center"/>
            <w:hideMark/>
          </w:tcPr>
          <w:p w14:paraId="5762BFB3" w14:textId="77777777" w:rsidR="00DA265E" w:rsidRPr="00DA265E" w:rsidRDefault="00DA265E" w:rsidP="00DA265E">
            <w:pPr>
              <w:spacing w:before="180" w:after="180"/>
              <w:rPr>
                <w:rFonts w:eastAsia="Times New Roman"/>
                <w:kern w:val="0"/>
                <w14:ligatures w14:val="none"/>
              </w:rPr>
            </w:pPr>
            <w:r w:rsidRPr="00DA265E">
              <w:rPr>
                <w:rFonts w:eastAsia="Times New Roman"/>
                <w:kern w:val="0"/>
                <w14:ligatures w14:val="none"/>
              </w:rPr>
              <w:t>93-96%    </w:t>
            </w:r>
          </w:p>
        </w:tc>
        <w:tc>
          <w:tcPr>
            <w:tcW w:w="735" w:type="dxa"/>
            <w:shd w:val="clear" w:color="auto" w:fill="auto"/>
            <w:tcMar>
              <w:top w:w="30" w:type="dxa"/>
              <w:left w:w="30" w:type="dxa"/>
              <w:bottom w:w="30" w:type="dxa"/>
              <w:right w:w="30" w:type="dxa"/>
            </w:tcMar>
            <w:vAlign w:val="center"/>
            <w:hideMark/>
          </w:tcPr>
          <w:p w14:paraId="0261121E" w14:textId="77777777" w:rsidR="00DA265E" w:rsidRPr="00DA265E" w:rsidRDefault="00DA265E" w:rsidP="00DA265E">
            <w:pPr>
              <w:spacing w:before="180" w:after="180"/>
              <w:rPr>
                <w:rFonts w:eastAsia="Times New Roman"/>
                <w:kern w:val="0"/>
                <w14:ligatures w14:val="none"/>
              </w:rPr>
            </w:pPr>
            <w:r w:rsidRPr="00DA265E">
              <w:rPr>
                <w:rFonts w:eastAsia="Times New Roman"/>
                <w:kern w:val="0"/>
                <w14:ligatures w14:val="none"/>
              </w:rPr>
              <w:t>C  </w:t>
            </w:r>
          </w:p>
        </w:tc>
        <w:tc>
          <w:tcPr>
            <w:tcW w:w="3045" w:type="dxa"/>
            <w:shd w:val="clear" w:color="auto" w:fill="auto"/>
            <w:tcMar>
              <w:top w:w="30" w:type="dxa"/>
              <w:left w:w="30" w:type="dxa"/>
              <w:bottom w:w="30" w:type="dxa"/>
              <w:right w:w="30" w:type="dxa"/>
            </w:tcMar>
            <w:vAlign w:val="center"/>
            <w:hideMark/>
          </w:tcPr>
          <w:p w14:paraId="6100C570" w14:textId="77777777" w:rsidR="00DA265E" w:rsidRPr="00DA265E" w:rsidRDefault="00DA265E" w:rsidP="00DA265E">
            <w:pPr>
              <w:spacing w:before="180" w:after="180"/>
              <w:rPr>
                <w:rFonts w:eastAsia="Times New Roman"/>
                <w:kern w:val="0"/>
                <w14:ligatures w14:val="none"/>
              </w:rPr>
            </w:pPr>
            <w:r w:rsidRPr="00DA265E">
              <w:rPr>
                <w:rFonts w:eastAsia="Times New Roman"/>
                <w:kern w:val="0"/>
                <w14:ligatures w14:val="none"/>
              </w:rPr>
              <w:t>73-76%</w:t>
            </w:r>
          </w:p>
        </w:tc>
      </w:tr>
      <w:tr w:rsidR="00DA265E" w:rsidRPr="00DA265E" w14:paraId="3ED0D6CB" w14:textId="77777777" w:rsidTr="00DA265E">
        <w:tc>
          <w:tcPr>
            <w:tcW w:w="675" w:type="dxa"/>
            <w:shd w:val="clear" w:color="auto" w:fill="auto"/>
            <w:tcMar>
              <w:top w:w="30" w:type="dxa"/>
              <w:left w:w="30" w:type="dxa"/>
              <w:bottom w:w="30" w:type="dxa"/>
              <w:right w:w="30" w:type="dxa"/>
            </w:tcMar>
            <w:vAlign w:val="center"/>
            <w:hideMark/>
          </w:tcPr>
          <w:p w14:paraId="15637806" w14:textId="77777777" w:rsidR="00DA265E" w:rsidRPr="00DA265E" w:rsidRDefault="00DA265E" w:rsidP="00DA265E">
            <w:pPr>
              <w:spacing w:before="180" w:after="180"/>
              <w:rPr>
                <w:rFonts w:eastAsia="Times New Roman"/>
                <w:kern w:val="0"/>
                <w14:ligatures w14:val="none"/>
              </w:rPr>
            </w:pPr>
            <w:r w:rsidRPr="00DA265E">
              <w:rPr>
                <w:rFonts w:eastAsia="Times New Roman"/>
                <w:kern w:val="0"/>
                <w14:ligatures w14:val="none"/>
              </w:rPr>
              <w:t>A-  </w:t>
            </w:r>
          </w:p>
        </w:tc>
        <w:tc>
          <w:tcPr>
            <w:tcW w:w="2790" w:type="dxa"/>
            <w:shd w:val="clear" w:color="auto" w:fill="auto"/>
            <w:tcMar>
              <w:top w:w="30" w:type="dxa"/>
              <w:left w:w="30" w:type="dxa"/>
              <w:bottom w:w="30" w:type="dxa"/>
              <w:right w:w="30" w:type="dxa"/>
            </w:tcMar>
            <w:vAlign w:val="center"/>
            <w:hideMark/>
          </w:tcPr>
          <w:p w14:paraId="24004A62" w14:textId="77777777" w:rsidR="00DA265E" w:rsidRPr="00DA265E" w:rsidRDefault="00DA265E" w:rsidP="00DA265E">
            <w:pPr>
              <w:spacing w:before="180" w:after="180"/>
              <w:rPr>
                <w:rFonts w:eastAsia="Times New Roman"/>
                <w:kern w:val="0"/>
                <w14:ligatures w14:val="none"/>
              </w:rPr>
            </w:pPr>
            <w:r w:rsidRPr="00DA265E">
              <w:rPr>
                <w:rFonts w:eastAsia="Times New Roman"/>
                <w:kern w:val="0"/>
                <w14:ligatures w14:val="none"/>
              </w:rPr>
              <w:t>90-92%          </w:t>
            </w:r>
          </w:p>
        </w:tc>
        <w:tc>
          <w:tcPr>
            <w:tcW w:w="735" w:type="dxa"/>
            <w:shd w:val="clear" w:color="auto" w:fill="auto"/>
            <w:tcMar>
              <w:top w:w="30" w:type="dxa"/>
              <w:left w:w="30" w:type="dxa"/>
              <w:bottom w:w="30" w:type="dxa"/>
              <w:right w:w="30" w:type="dxa"/>
            </w:tcMar>
            <w:vAlign w:val="center"/>
            <w:hideMark/>
          </w:tcPr>
          <w:p w14:paraId="3A326107" w14:textId="77777777" w:rsidR="00DA265E" w:rsidRPr="00DA265E" w:rsidRDefault="00DA265E" w:rsidP="00DA265E">
            <w:pPr>
              <w:spacing w:before="180" w:after="180"/>
              <w:rPr>
                <w:rFonts w:eastAsia="Times New Roman"/>
                <w:kern w:val="0"/>
                <w14:ligatures w14:val="none"/>
              </w:rPr>
            </w:pPr>
            <w:r w:rsidRPr="00DA265E">
              <w:rPr>
                <w:rFonts w:eastAsia="Times New Roman"/>
                <w:kern w:val="0"/>
                <w14:ligatures w14:val="none"/>
              </w:rPr>
              <w:t>C-        </w:t>
            </w:r>
          </w:p>
        </w:tc>
        <w:tc>
          <w:tcPr>
            <w:tcW w:w="3045" w:type="dxa"/>
            <w:shd w:val="clear" w:color="auto" w:fill="auto"/>
            <w:tcMar>
              <w:top w:w="30" w:type="dxa"/>
              <w:left w:w="30" w:type="dxa"/>
              <w:bottom w:w="30" w:type="dxa"/>
              <w:right w:w="30" w:type="dxa"/>
            </w:tcMar>
            <w:vAlign w:val="center"/>
            <w:hideMark/>
          </w:tcPr>
          <w:p w14:paraId="39C111B3" w14:textId="77777777" w:rsidR="00DA265E" w:rsidRPr="00DA265E" w:rsidRDefault="00DA265E" w:rsidP="00DA265E">
            <w:pPr>
              <w:spacing w:before="180" w:after="180"/>
              <w:rPr>
                <w:rFonts w:eastAsia="Times New Roman"/>
                <w:kern w:val="0"/>
                <w14:ligatures w14:val="none"/>
              </w:rPr>
            </w:pPr>
            <w:r w:rsidRPr="00DA265E">
              <w:rPr>
                <w:rFonts w:eastAsia="Times New Roman"/>
                <w:kern w:val="0"/>
                <w14:ligatures w14:val="none"/>
              </w:rPr>
              <w:t>70-72%</w:t>
            </w:r>
          </w:p>
        </w:tc>
      </w:tr>
      <w:tr w:rsidR="00DA265E" w:rsidRPr="00DA265E" w14:paraId="3F37F85D" w14:textId="77777777" w:rsidTr="00DA265E">
        <w:tc>
          <w:tcPr>
            <w:tcW w:w="675" w:type="dxa"/>
            <w:shd w:val="clear" w:color="auto" w:fill="auto"/>
            <w:tcMar>
              <w:top w:w="30" w:type="dxa"/>
              <w:left w:w="30" w:type="dxa"/>
              <w:bottom w:w="30" w:type="dxa"/>
              <w:right w:w="30" w:type="dxa"/>
            </w:tcMar>
            <w:vAlign w:val="center"/>
            <w:hideMark/>
          </w:tcPr>
          <w:p w14:paraId="6CCD109F" w14:textId="77777777" w:rsidR="00DA265E" w:rsidRPr="00DA265E" w:rsidRDefault="00DA265E" w:rsidP="00DA265E">
            <w:pPr>
              <w:spacing w:before="180" w:after="180"/>
              <w:rPr>
                <w:rFonts w:eastAsia="Times New Roman"/>
                <w:kern w:val="0"/>
                <w14:ligatures w14:val="none"/>
              </w:rPr>
            </w:pPr>
            <w:r w:rsidRPr="00DA265E">
              <w:rPr>
                <w:rFonts w:eastAsia="Times New Roman"/>
                <w:kern w:val="0"/>
                <w14:ligatures w14:val="none"/>
              </w:rPr>
              <w:t>B+ </w:t>
            </w:r>
          </w:p>
        </w:tc>
        <w:tc>
          <w:tcPr>
            <w:tcW w:w="2790" w:type="dxa"/>
            <w:shd w:val="clear" w:color="auto" w:fill="auto"/>
            <w:tcMar>
              <w:top w:w="30" w:type="dxa"/>
              <w:left w:w="30" w:type="dxa"/>
              <w:bottom w:w="30" w:type="dxa"/>
              <w:right w:w="30" w:type="dxa"/>
            </w:tcMar>
            <w:vAlign w:val="center"/>
            <w:hideMark/>
          </w:tcPr>
          <w:p w14:paraId="12038CAA" w14:textId="77777777" w:rsidR="00DA265E" w:rsidRPr="00DA265E" w:rsidRDefault="00DA265E" w:rsidP="00DA265E">
            <w:pPr>
              <w:spacing w:before="180" w:after="180"/>
              <w:rPr>
                <w:rFonts w:eastAsia="Times New Roman"/>
                <w:kern w:val="0"/>
                <w14:ligatures w14:val="none"/>
              </w:rPr>
            </w:pPr>
            <w:r w:rsidRPr="00DA265E">
              <w:rPr>
                <w:rFonts w:eastAsia="Times New Roman"/>
                <w:kern w:val="0"/>
                <w14:ligatures w14:val="none"/>
              </w:rPr>
              <w:t>87-89%    </w:t>
            </w:r>
          </w:p>
        </w:tc>
        <w:tc>
          <w:tcPr>
            <w:tcW w:w="735" w:type="dxa"/>
            <w:shd w:val="clear" w:color="auto" w:fill="auto"/>
            <w:tcMar>
              <w:top w:w="30" w:type="dxa"/>
              <w:left w:w="30" w:type="dxa"/>
              <w:bottom w:w="30" w:type="dxa"/>
              <w:right w:w="30" w:type="dxa"/>
            </w:tcMar>
            <w:vAlign w:val="center"/>
            <w:hideMark/>
          </w:tcPr>
          <w:p w14:paraId="2D3814A0" w14:textId="77777777" w:rsidR="00DA265E" w:rsidRPr="00DA265E" w:rsidRDefault="00DA265E" w:rsidP="00DA265E">
            <w:pPr>
              <w:spacing w:before="180" w:after="180"/>
              <w:rPr>
                <w:rFonts w:eastAsia="Times New Roman"/>
                <w:kern w:val="0"/>
                <w14:ligatures w14:val="none"/>
              </w:rPr>
            </w:pPr>
            <w:r w:rsidRPr="00DA265E">
              <w:rPr>
                <w:rFonts w:eastAsia="Times New Roman"/>
                <w:kern w:val="0"/>
                <w14:ligatures w14:val="none"/>
              </w:rPr>
              <w:t>D+ </w:t>
            </w:r>
          </w:p>
        </w:tc>
        <w:tc>
          <w:tcPr>
            <w:tcW w:w="3045" w:type="dxa"/>
            <w:shd w:val="clear" w:color="auto" w:fill="auto"/>
            <w:tcMar>
              <w:top w:w="30" w:type="dxa"/>
              <w:left w:w="30" w:type="dxa"/>
              <w:bottom w:w="30" w:type="dxa"/>
              <w:right w:w="30" w:type="dxa"/>
            </w:tcMar>
            <w:vAlign w:val="center"/>
            <w:hideMark/>
          </w:tcPr>
          <w:p w14:paraId="5B7C00CF" w14:textId="77777777" w:rsidR="00DA265E" w:rsidRPr="00DA265E" w:rsidRDefault="00DA265E" w:rsidP="00DA265E">
            <w:pPr>
              <w:spacing w:before="180" w:after="180"/>
              <w:rPr>
                <w:rFonts w:eastAsia="Times New Roman"/>
                <w:kern w:val="0"/>
                <w14:ligatures w14:val="none"/>
              </w:rPr>
            </w:pPr>
            <w:r w:rsidRPr="00DA265E">
              <w:rPr>
                <w:rFonts w:eastAsia="Times New Roman"/>
                <w:kern w:val="0"/>
                <w14:ligatures w14:val="none"/>
              </w:rPr>
              <w:t>67-69%</w:t>
            </w:r>
          </w:p>
        </w:tc>
      </w:tr>
      <w:tr w:rsidR="00DA265E" w:rsidRPr="00DA265E" w14:paraId="25B11FA4" w14:textId="77777777" w:rsidTr="00DA265E">
        <w:tc>
          <w:tcPr>
            <w:tcW w:w="675" w:type="dxa"/>
            <w:shd w:val="clear" w:color="auto" w:fill="auto"/>
            <w:tcMar>
              <w:top w:w="30" w:type="dxa"/>
              <w:left w:w="30" w:type="dxa"/>
              <w:bottom w:w="30" w:type="dxa"/>
              <w:right w:w="30" w:type="dxa"/>
            </w:tcMar>
            <w:vAlign w:val="center"/>
            <w:hideMark/>
          </w:tcPr>
          <w:p w14:paraId="613FE897" w14:textId="77777777" w:rsidR="00DA265E" w:rsidRPr="00DA265E" w:rsidRDefault="00DA265E" w:rsidP="00DA265E">
            <w:pPr>
              <w:spacing w:before="180" w:after="180"/>
              <w:rPr>
                <w:rFonts w:eastAsia="Times New Roman"/>
                <w:kern w:val="0"/>
                <w14:ligatures w14:val="none"/>
              </w:rPr>
            </w:pPr>
            <w:r w:rsidRPr="00DA265E">
              <w:rPr>
                <w:rFonts w:eastAsia="Times New Roman"/>
                <w:kern w:val="0"/>
                <w14:ligatures w14:val="none"/>
              </w:rPr>
              <w:t>B    </w:t>
            </w:r>
          </w:p>
        </w:tc>
        <w:tc>
          <w:tcPr>
            <w:tcW w:w="2790" w:type="dxa"/>
            <w:shd w:val="clear" w:color="auto" w:fill="auto"/>
            <w:tcMar>
              <w:top w:w="30" w:type="dxa"/>
              <w:left w:w="30" w:type="dxa"/>
              <w:bottom w:w="30" w:type="dxa"/>
              <w:right w:w="30" w:type="dxa"/>
            </w:tcMar>
            <w:vAlign w:val="center"/>
            <w:hideMark/>
          </w:tcPr>
          <w:p w14:paraId="6BCADCC4" w14:textId="77777777" w:rsidR="00DA265E" w:rsidRPr="00DA265E" w:rsidRDefault="00DA265E" w:rsidP="00DA265E">
            <w:pPr>
              <w:spacing w:before="180" w:after="180"/>
              <w:rPr>
                <w:rFonts w:eastAsia="Times New Roman"/>
                <w:kern w:val="0"/>
                <w14:ligatures w14:val="none"/>
              </w:rPr>
            </w:pPr>
            <w:r w:rsidRPr="00DA265E">
              <w:rPr>
                <w:rFonts w:eastAsia="Times New Roman"/>
                <w:kern w:val="0"/>
                <w14:ligatures w14:val="none"/>
              </w:rPr>
              <w:t>83-86%   </w:t>
            </w:r>
          </w:p>
        </w:tc>
        <w:tc>
          <w:tcPr>
            <w:tcW w:w="735" w:type="dxa"/>
            <w:shd w:val="clear" w:color="auto" w:fill="auto"/>
            <w:tcMar>
              <w:top w:w="30" w:type="dxa"/>
              <w:left w:w="30" w:type="dxa"/>
              <w:bottom w:w="30" w:type="dxa"/>
              <w:right w:w="30" w:type="dxa"/>
            </w:tcMar>
            <w:vAlign w:val="center"/>
            <w:hideMark/>
          </w:tcPr>
          <w:p w14:paraId="60844B54" w14:textId="77777777" w:rsidR="00DA265E" w:rsidRPr="00DA265E" w:rsidRDefault="00DA265E" w:rsidP="00DA265E">
            <w:pPr>
              <w:spacing w:before="180" w:after="180"/>
              <w:rPr>
                <w:rFonts w:eastAsia="Times New Roman"/>
                <w:kern w:val="0"/>
                <w14:ligatures w14:val="none"/>
              </w:rPr>
            </w:pPr>
            <w:r w:rsidRPr="00DA265E">
              <w:rPr>
                <w:rFonts w:eastAsia="Times New Roman"/>
                <w:kern w:val="0"/>
                <w14:ligatures w14:val="none"/>
              </w:rPr>
              <w:t>D   </w:t>
            </w:r>
          </w:p>
        </w:tc>
        <w:tc>
          <w:tcPr>
            <w:tcW w:w="3045" w:type="dxa"/>
            <w:shd w:val="clear" w:color="auto" w:fill="auto"/>
            <w:tcMar>
              <w:top w:w="30" w:type="dxa"/>
              <w:left w:w="30" w:type="dxa"/>
              <w:bottom w:w="30" w:type="dxa"/>
              <w:right w:w="30" w:type="dxa"/>
            </w:tcMar>
            <w:vAlign w:val="center"/>
            <w:hideMark/>
          </w:tcPr>
          <w:p w14:paraId="4E4AC695" w14:textId="77777777" w:rsidR="00DA265E" w:rsidRPr="00DA265E" w:rsidRDefault="00DA265E" w:rsidP="00DA265E">
            <w:pPr>
              <w:spacing w:before="180" w:after="180"/>
              <w:rPr>
                <w:rFonts w:eastAsia="Times New Roman"/>
                <w:kern w:val="0"/>
                <w14:ligatures w14:val="none"/>
              </w:rPr>
            </w:pPr>
            <w:r w:rsidRPr="00DA265E">
              <w:rPr>
                <w:rFonts w:eastAsia="Times New Roman"/>
                <w:kern w:val="0"/>
                <w14:ligatures w14:val="none"/>
              </w:rPr>
              <w:t>63-66%</w:t>
            </w:r>
          </w:p>
        </w:tc>
      </w:tr>
      <w:tr w:rsidR="00DA265E" w:rsidRPr="00DA265E" w14:paraId="28FFD37B" w14:textId="77777777" w:rsidTr="00DA265E">
        <w:tc>
          <w:tcPr>
            <w:tcW w:w="675" w:type="dxa"/>
            <w:shd w:val="clear" w:color="auto" w:fill="auto"/>
            <w:tcMar>
              <w:top w:w="30" w:type="dxa"/>
              <w:left w:w="30" w:type="dxa"/>
              <w:bottom w:w="30" w:type="dxa"/>
              <w:right w:w="30" w:type="dxa"/>
            </w:tcMar>
            <w:vAlign w:val="center"/>
            <w:hideMark/>
          </w:tcPr>
          <w:p w14:paraId="1717A46E" w14:textId="77777777" w:rsidR="00DA265E" w:rsidRPr="00DA265E" w:rsidRDefault="00DA265E" w:rsidP="00DA265E">
            <w:pPr>
              <w:spacing w:before="180" w:after="180"/>
              <w:rPr>
                <w:rFonts w:eastAsia="Times New Roman"/>
                <w:kern w:val="0"/>
                <w14:ligatures w14:val="none"/>
              </w:rPr>
            </w:pPr>
            <w:r w:rsidRPr="00DA265E">
              <w:rPr>
                <w:rFonts w:eastAsia="Times New Roman"/>
                <w:kern w:val="0"/>
                <w14:ligatures w14:val="none"/>
              </w:rPr>
              <w:t>B-    </w:t>
            </w:r>
          </w:p>
        </w:tc>
        <w:tc>
          <w:tcPr>
            <w:tcW w:w="2790" w:type="dxa"/>
            <w:shd w:val="clear" w:color="auto" w:fill="auto"/>
            <w:tcMar>
              <w:top w:w="30" w:type="dxa"/>
              <w:left w:w="30" w:type="dxa"/>
              <w:bottom w:w="30" w:type="dxa"/>
              <w:right w:w="30" w:type="dxa"/>
            </w:tcMar>
            <w:vAlign w:val="center"/>
            <w:hideMark/>
          </w:tcPr>
          <w:p w14:paraId="010BDF3D" w14:textId="77777777" w:rsidR="00DA265E" w:rsidRPr="00DA265E" w:rsidRDefault="00DA265E" w:rsidP="00DA265E">
            <w:pPr>
              <w:spacing w:before="180" w:after="180"/>
              <w:rPr>
                <w:rFonts w:eastAsia="Times New Roman"/>
                <w:kern w:val="0"/>
                <w14:ligatures w14:val="none"/>
              </w:rPr>
            </w:pPr>
            <w:r w:rsidRPr="00DA265E">
              <w:rPr>
                <w:rFonts w:eastAsia="Times New Roman"/>
                <w:kern w:val="0"/>
                <w14:ligatures w14:val="none"/>
              </w:rPr>
              <w:t>80-82% </w:t>
            </w:r>
          </w:p>
        </w:tc>
        <w:tc>
          <w:tcPr>
            <w:tcW w:w="735" w:type="dxa"/>
            <w:shd w:val="clear" w:color="auto" w:fill="auto"/>
            <w:tcMar>
              <w:top w:w="30" w:type="dxa"/>
              <w:left w:w="30" w:type="dxa"/>
              <w:bottom w:w="30" w:type="dxa"/>
              <w:right w:w="30" w:type="dxa"/>
            </w:tcMar>
            <w:vAlign w:val="center"/>
            <w:hideMark/>
          </w:tcPr>
          <w:p w14:paraId="3F7FE161" w14:textId="77777777" w:rsidR="00DA265E" w:rsidRPr="00DA265E" w:rsidRDefault="00DA265E" w:rsidP="00DA265E">
            <w:pPr>
              <w:spacing w:before="180" w:after="180"/>
              <w:rPr>
                <w:rFonts w:eastAsia="Times New Roman"/>
                <w:kern w:val="0"/>
                <w14:ligatures w14:val="none"/>
              </w:rPr>
            </w:pPr>
            <w:r w:rsidRPr="00DA265E">
              <w:rPr>
                <w:rFonts w:eastAsia="Times New Roman"/>
                <w:kern w:val="0"/>
                <w14:ligatures w14:val="none"/>
              </w:rPr>
              <w:t>D-  </w:t>
            </w:r>
          </w:p>
        </w:tc>
        <w:tc>
          <w:tcPr>
            <w:tcW w:w="3045" w:type="dxa"/>
            <w:shd w:val="clear" w:color="auto" w:fill="auto"/>
            <w:tcMar>
              <w:top w:w="30" w:type="dxa"/>
              <w:left w:w="30" w:type="dxa"/>
              <w:bottom w:w="30" w:type="dxa"/>
              <w:right w:w="30" w:type="dxa"/>
            </w:tcMar>
            <w:vAlign w:val="center"/>
            <w:hideMark/>
          </w:tcPr>
          <w:p w14:paraId="27F62540" w14:textId="77777777" w:rsidR="00DA265E" w:rsidRPr="00DA265E" w:rsidRDefault="00DA265E" w:rsidP="00DA265E">
            <w:pPr>
              <w:spacing w:before="180" w:after="180"/>
              <w:rPr>
                <w:rFonts w:eastAsia="Times New Roman"/>
                <w:kern w:val="0"/>
                <w14:ligatures w14:val="none"/>
              </w:rPr>
            </w:pPr>
            <w:r w:rsidRPr="00DA265E">
              <w:rPr>
                <w:rFonts w:eastAsia="Times New Roman"/>
                <w:kern w:val="0"/>
                <w14:ligatures w14:val="none"/>
              </w:rPr>
              <w:t>60-62%    </w:t>
            </w:r>
          </w:p>
        </w:tc>
      </w:tr>
      <w:tr w:rsidR="00DA265E" w:rsidRPr="00DA265E" w14:paraId="1906318B" w14:textId="77777777" w:rsidTr="00DA265E">
        <w:tc>
          <w:tcPr>
            <w:tcW w:w="675" w:type="dxa"/>
            <w:shd w:val="clear" w:color="auto" w:fill="auto"/>
            <w:tcMar>
              <w:top w:w="30" w:type="dxa"/>
              <w:left w:w="30" w:type="dxa"/>
              <w:bottom w:w="30" w:type="dxa"/>
              <w:right w:w="30" w:type="dxa"/>
            </w:tcMar>
            <w:vAlign w:val="center"/>
            <w:hideMark/>
          </w:tcPr>
          <w:p w14:paraId="7960D73E" w14:textId="77777777" w:rsidR="00DA265E" w:rsidRPr="00DA265E" w:rsidRDefault="00DA265E" w:rsidP="00DA265E">
            <w:pPr>
              <w:rPr>
                <w:rFonts w:eastAsia="Times New Roman"/>
                <w:kern w:val="0"/>
                <w14:ligatures w14:val="none"/>
              </w:rPr>
            </w:pPr>
          </w:p>
        </w:tc>
        <w:tc>
          <w:tcPr>
            <w:tcW w:w="2790" w:type="dxa"/>
            <w:shd w:val="clear" w:color="auto" w:fill="auto"/>
            <w:tcMar>
              <w:top w:w="30" w:type="dxa"/>
              <w:left w:w="30" w:type="dxa"/>
              <w:bottom w:w="30" w:type="dxa"/>
              <w:right w:w="30" w:type="dxa"/>
            </w:tcMar>
            <w:vAlign w:val="center"/>
            <w:hideMark/>
          </w:tcPr>
          <w:p w14:paraId="132E6342" w14:textId="77777777" w:rsidR="00DA265E" w:rsidRPr="00DA265E" w:rsidRDefault="00DA265E" w:rsidP="00DA265E">
            <w:pPr>
              <w:rPr>
                <w:rFonts w:eastAsia="Times New Roman"/>
                <w:kern w:val="0"/>
                <w:sz w:val="20"/>
                <w:szCs w:val="20"/>
                <w14:ligatures w14:val="none"/>
              </w:rPr>
            </w:pPr>
          </w:p>
        </w:tc>
        <w:tc>
          <w:tcPr>
            <w:tcW w:w="735" w:type="dxa"/>
            <w:shd w:val="clear" w:color="auto" w:fill="auto"/>
            <w:tcMar>
              <w:top w:w="30" w:type="dxa"/>
              <w:left w:w="30" w:type="dxa"/>
              <w:bottom w:w="30" w:type="dxa"/>
              <w:right w:w="30" w:type="dxa"/>
            </w:tcMar>
            <w:vAlign w:val="center"/>
            <w:hideMark/>
          </w:tcPr>
          <w:p w14:paraId="75A28682" w14:textId="77777777" w:rsidR="00DA265E" w:rsidRPr="00DA265E" w:rsidRDefault="00DA265E" w:rsidP="00DA265E">
            <w:pPr>
              <w:spacing w:before="180" w:after="180"/>
              <w:rPr>
                <w:rFonts w:eastAsia="Times New Roman"/>
                <w:kern w:val="0"/>
                <w14:ligatures w14:val="none"/>
              </w:rPr>
            </w:pPr>
            <w:r w:rsidRPr="00DA265E">
              <w:rPr>
                <w:rFonts w:eastAsia="Times New Roman"/>
                <w:kern w:val="0"/>
                <w14:ligatures w14:val="none"/>
              </w:rPr>
              <w:t>F </w:t>
            </w:r>
          </w:p>
        </w:tc>
        <w:tc>
          <w:tcPr>
            <w:tcW w:w="3045" w:type="dxa"/>
            <w:shd w:val="clear" w:color="auto" w:fill="auto"/>
            <w:tcMar>
              <w:top w:w="30" w:type="dxa"/>
              <w:left w:w="30" w:type="dxa"/>
              <w:bottom w:w="30" w:type="dxa"/>
              <w:right w:w="30" w:type="dxa"/>
            </w:tcMar>
            <w:vAlign w:val="center"/>
            <w:hideMark/>
          </w:tcPr>
          <w:p w14:paraId="770F1785" w14:textId="77777777" w:rsidR="00DA265E" w:rsidRPr="00DA265E" w:rsidRDefault="00DA265E" w:rsidP="00DA265E">
            <w:pPr>
              <w:spacing w:before="180" w:after="180"/>
              <w:rPr>
                <w:rFonts w:eastAsia="Times New Roman"/>
                <w:kern w:val="0"/>
                <w14:ligatures w14:val="none"/>
              </w:rPr>
            </w:pPr>
            <w:r w:rsidRPr="00DA265E">
              <w:rPr>
                <w:rFonts w:eastAsia="Times New Roman"/>
                <w:kern w:val="0"/>
                <w14:ligatures w14:val="none"/>
              </w:rPr>
              <w:t>≤59%</w:t>
            </w:r>
          </w:p>
        </w:tc>
      </w:tr>
    </w:tbl>
    <w:p w14:paraId="1DA76E73"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Syllabus Supplements</w:t>
      </w:r>
    </w:p>
    <w:p w14:paraId="3B44FA29"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Additional information about IUPUI student policies and services is available on Canvas under the Campus Syllabus Supplement and SLA Syllabus Supplement tabs, which you will find at the bottom of this page after the course calendar. This information is important: these policies and services are intended to help students succeed at IUPUI and have the potential to affect a student’s grade in this course. Students are expected to read, and will be held accountable for, the information posted under the Syllabus Supplement. Information is available on the following topics:</w:t>
      </w:r>
    </w:p>
    <w:p w14:paraId="603DBC34"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CAMPUS SYLLABUS SUPPLEMENT</w:t>
      </w:r>
    </w:p>
    <w:p w14:paraId="3B69F168" w14:textId="77777777" w:rsidR="00DA265E" w:rsidRPr="00DA265E" w:rsidRDefault="00DA265E" w:rsidP="00DA265E">
      <w:pPr>
        <w:numPr>
          <w:ilvl w:val="0"/>
          <w:numId w:val="4"/>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IUPUI Policy on Disability Accommodations (AES Services)</w:t>
      </w:r>
    </w:p>
    <w:p w14:paraId="6A5EE670" w14:textId="77777777" w:rsidR="00DA265E" w:rsidRPr="00DA265E" w:rsidRDefault="00DA265E" w:rsidP="00DA265E">
      <w:pPr>
        <w:numPr>
          <w:ilvl w:val="0"/>
          <w:numId w:val="4"/>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IUPUI Policy on Religious Holidays</w:t>
      </w:r>
    </w:p>
    <w:p w14:paraId="55BB57B7" w14:textId="77777777" w:rsidR="00DA265E" w:rsidRPr="00DA265E" w:rsidRDefault="00DA265E" w:rsidP="00DA265E">
      <w:pPr>
        <w:numPr>
          <w:ilvl w:val="0"/>
          <w:numId w:val="4"/>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IUPUI Policy on Academic Integrity (Plagiarism)</w:t>
      </w:r>
    </w:p>
    <w:p w14:paraId="0F20D915" w14:textId="77777777" w:rsidR="00DA265E" w:rsidRPr="00DA265E" w:rsidRDefault="00DA265E" w:rsidP="00DA265E">
      <w:pPr>
        <w:numPr>
          <w:ilvl w:val="0"/>
          <w:numId w:val="4"/>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IUPUI Policy on Sexual Misconduct</w:t>
      </w:r>
    </w:p>
    <w:p w14:paraId="7A34A6AF" w14:textId="77777777" w:rsidR="00DA265E" w:rsidRPr="00DA265E" w:rsidRDefault="00DA265E" w:rsidP="00DA265E">
      <w:pPr>
        <w:numPr>
          <w:ilvl w:val="0"/>
          <w:numId w:val="4"/>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Education and Title VI</w:t>
      </w:r>
    </w:p>
    <w:p w14:paraId="50EB8048" w14:textId="77777777" w:rsidR="00DA265E" w:rsidRPr="00DA265E" w:rsidRDefault="00DA265E" w:rsidP="00DA265E">
      <w:pPr>
        <w:numPr>
          <w:ilvl w:val="0"/>
          <w:numId w:val="4"/>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Military Related Personnel Statement</w:t>
      </w:r>
    </w:p>
    <w:p w14:paraId="75A53BF8" w14:textId="77777777" w:rsidR="00DA265E" w:rsidRPr="00DA265E" w:rsidRDefault="00DA265E" w:rsidP="00DA265E">
      <w:pPr>
        <w:numPr>
          <w:ilvl w:val="0"/>
          <w:numId w:val="4"/>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Two-Step Login (Duo)</w:t>
      </w:r>
    </w:p>
    <w:p w14:paraId="5EFA95EC"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SLA SYLLABUS SUPPLEMENT</w:t>
      </w:r>
    </w:p>
    <w:p w14:paraId="4E56701A" w14:textId="77777777" w:rsidR="00DA265E" w:rsidRPr="00DA265E" w:rsidRDefault="00DA265E" w:rsidP="00DA265E">
      <w:pPr>
        <w:numPr>
          <w:ilvl w:val="0"/>
          <w:numId w:val="5"/>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Withdrawal (including Administrative Withdrawal)</w:t>
      </w:r>
    </w:p>
    <w:p w14:paraId="65176877" w14:textId="77777777" w:rsidR="00DA265E" w:rsidRPr="00DA265E" w:rsidRDefault="00DA265E" w:rsidP="00DA265E">
      <w:pPr>
        <w:numPr>
          <w:ilvl w:val="0"/>
          <w:numId w:val="5"/>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Incompletes</w:t>
      </w:r>
    </w:p>
    <w:p w14:paraId="4E0F80F6" w14:textId="77777777" w:rsidR="00DA265E" w:rsidRPr="00DA265E" w:rsidRDefault="00DA265E" w:rsidP="00DA265E">
      <w:pPr>
        <w:numPr>
          <w:ilvl w:val="0"/>
          <w:numId w:val="5"/>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Honors credit</w:t>
      </w:r>
    </w:p>
    <w:p w14:paraId="43D32E24" w14:textId="77777777" w:rsidR="00DA265E" w:rsidRPr="00DA265E" w:rsidRDefault="00DA265E" w:rsidP="00DA265E">
      <w:pPr>
        <w:numPr>
          <w:ilvl w:val="0"/>
          <w:numId w:val="5"/>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Student Advocate Office</w:t>
      </w:r>
    </w:p>
    <w:p w14:paraId="179DED94" w14:textId="77777777" w:rsidR="00DA265E" w:rsidRPr="00DA265E" w:rsidRDefault="00DA265E" w:rsidP="00DA265E">
      <w:pPr>
        <w:numPr>
          <w:ilvl w:val="0"/>
          <w:numId w:val="5"/>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Counseling and Psychological Services (CAPS)</w:t>
      </w:r>
    </w:p>
    <w:p w14:paraId="20AFF9B8" w14:textId="77777777" w:rsidR="00DA265E" w:rsidRPr="00DA265E" w:rsidRDefault="00DA265E" w:rsidP="00DA265E">
      <w:pPr>
        <w:numPr>
          <w:ilvl w:val="0"/>
          <w:numId w:val="5"/>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University Writing Center</w:t>
      </w:r>
    </w:p>
    <w:p w14:paraId="1A0BCF1A" w14:textId="77777777" w:rsidR="00DA265E" w:rsidRPr="00DA265E" w:rsidRDefault="00DA265E" w:rsidP="00DA265E">
      <w:pPr>
        <w:numPr>
          <w:ilvl w:val="0"/>
          <w:numId w:val="5"/>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Diversity</w:t>
      </w:r>
    </w:p>
    <w:p w14:paraId="5214E851"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lastRenderedPageBreak/>
        <w:t>Course Schedule*</w:t>
      </w:r>
    </w:p>
    <w:p w14:paraId="07215D65"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b/>
          <w:bCs/>
          <w:color w:val="2D3B45"/>
          <w:kern w:val="0"/>
          <w14:ligatures w14:val="none"/>
        </w:rPr>
        <w:t>*Remember always to check the Module for the current week for updates to readings and case studies.*</w:t>
      </w:r>
    </w:p>
    <w:p w14:paraId="2608A9BC"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u w:val="single"/>
          <w14:ligatures w14:val="none"/>
        </w:rPr>
        <w:t>Week 1- August 24: Introduction and Principles</w:t>
      </w:r>
    </w:p>
    <w:p w14:paraId="3564540F"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b/>
          <w:bCs/>
          <w:color w:val="2D3B45"/>
          <w:kern w:val="0"/>
          <w14:ligatures w14:val="none"/>
        </w:rPr>
        <w:t>TOPICS</w:t>
      </w:r>
      <w:r w:rsidRPr="00DA265E">
        <w:rPr>
          <w:rFonts w:ascii="Lato" w:eastAsia="Times New Roman" w:hAnsi="Lato"/>
          <w:color w:val="2D3B45"/>
          <w:kern w:val="0"/>
          <w14:ligatures w14:val="none"/>
        </w:rPr>
        <w:t>: Human subjects, research misconduct, contemporary issues, the scientist in society</w:t>
      </w:r>
    </w:p>
    <w:p w14:paraId="64F99738" w14:textId="77777777" w:rsidR="00DA265E" w:rsidRPr="00DA265E" w:rsidRDefault="00DA265E" w:rsidP="00DA265E">
      <w:pPr>
        <w:numPr>
          <w:ilvl w:val="0"/>
          <w:numId w:val="6"/>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Brief introduction of professor and students, overview of course – Colin Halverson</w:t>
      </w:r>
    </w:p>
    <w:p w14:paraId="562B1C07" w14:textId="77777777" w:rsidR="00DA265E" w:rsidRPr="00DA265E" w:rsidRDefault="00DA265E" w:rsidP="00DA265E">
      <w:pPr>
        <w:numPr>
          <w:ilvl w:val="0"/>
          <w:numId w:val="6"/>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Basic ethical principles and theories (Belmont Report and case) – Peter Schwartz</w:t>
      </w:r>
    </w:p>
    <w:p w14:paraId="4EDF2CD5"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b/>
          <w:bCs/>
          <w:color w:val="2D3B45"/>
          <w:kern w:val="0"/>
          <w14:ligatures w14:val="none"/>
        </w:rPr>
        <w:t>REQUIRED READINGS:</w:t>
      </w:r>
    </w:p>
    <w:p w14:paraId="62C7BD9F" w14:textId="77777777" w:rsidR="00DA265E" w:rsidRPr="00DA265E" w:rsidRDefault="00DA265E" w:rsidP="00DA265E">
      <w:pPr>
        <w:numPr>
          <w:ilvl w:val="0"/>
          <w:numId w:val="7"/>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INTRODUCTION</w:t>
      </w:r>
    </w:p>
    <w:p w14:paraId="23C2593A" w14:textId="77777777" w:rsidR="00DA265E" w:rsidRPr="00DA265E" w:rsidRDefault="00DA265E" w:rsidP="00DA265E">
      <w:pPr>
        <w:numPr>
          <w:ilvl w:val="2"/>
          <w:numId w:val="8"/>
        </w:numPr>
        <w:spacing w:before="100" w:beforeAutospacing="1" w:after="100" w:afterAutospacing="1"/>
        <w:ind w:left="3285"/>
        <w:rPr>
          <w:rFonts w:ascii="Lato" w:eastAsia="Times New Roman" w:hAnsi="Lato"/>
          <w:color w:val="2D3B45"/>
          <w:kern w:val="0"/>
          <w14:ligatures w14:val="none"/>
        </w:rPr>
      </w:pPr>
      <w:r w:rsidRPr="00DA265E">
        <w:rPr>
          <w:rFonts w:ascii="Lato" w:eastAsia="Times New Roman" w:hAnsi="Lato"/>
          <w:color w:val="2D3B45"/>
          <w:kern w:val="0"/>
          <w14:ligatures w14:val="none"/>
        </w:rPr>
        <w:t>[None]</w:t>
      </w:r>
    </w:p>
    <w:p w14:paraId="71E5BF17" w14:textId="77777777" w:rsidR="00DA265E" w:rsidRPr="00DA265E" w:rsidRDefault="00DA265E" w:rsidP="00DA265E">
      <w:pPr>
        <w:numPr>
          <w:ilvl w:val="0"/>
          <w:numId w:val="9"/>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BASIC ETHICAL PRINCIPLES AND THEORIES</w:t>
      </w:r>
    </w:p>
    <w:p w14:paraId="15E0B7F7" w14:textId="77777777" w:rsidR="00DA265E" w:rsidRPr="00DA265E" w:rsidRDefault="00DA265E" w:rsidP="00DA265E">
      <w:pPr>
        <w:numPr>
          <w:ilvl w:val="2"/>
          <w:numId w:val="10"/>
        </w:numPr>
        <w:spacing w:before="100" w:beforeAutospacing="1" w:after="100" w:afterAutospacing="1"/>
        <w:ind w:left="3285"/>
        <w:rPr>
          <w:rFonts w:ascii="Lato" w:eastAsia="Times New Roman" w:hAnsi="Lato"/>
          <w:color w:val="2D3B45"/>
          <w:kern w:val="0"/>
          <w14:ligatures w14:val="none"/>
        </w:rPr>
      </w:pPr>
      <w:r w:rsidRPr="00DA265E">
        <w:rPr>
          <w:rFonts w:ascii="Lato" w:eastAsia="Times New Roman" w:hAnsi="Lato"/>
          <w:color w:val="2D3B45"/>
          <w:kern w:val="0"/>
          <w14:ligatures w14:val="none"/>
        </w:rPr>
        <w:t>To be handed out in class.</w:t>
      </w:r>
    </w:p>
    <w:p w14:paraId="68FE33B4"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b/>
          <w:bCs/>
          <w:color w:val="2D3B45"/>
          <w:kern w:val="0"/>
          <w14:ligatures w14:val="none"/>
        </w:rPr>
        <w:t>OPTIONAL READINGS:</w:t>
      </w:r>
    </w:p>
    <w:p w14:paraId="7B126A56" w14:textId="77777777" w:rsidR="00DA265E" w:rsidRPr="00DA265E" w:rsidRDefault="00DA265E" w:rsidP="00DA265E">
      <w:pPr>
        <w:numPr>
          <w:ilvl w:val="0"/>
          <w:numId w:val="11"/>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INTRODUCTION</w:t>
      </w:r>
    </w:p>
    <w:p w14:paraId="0C865F4E" w14:textId="77777777" w:rsidR="00DA265E" w:rsidRPr="00DA265E" w:rsidRDefault="00DA265E" w:rsidP="00DA265E">
      <w:pPr>
        <w:numPr>
          <w:ilvl w:val="1"/>
          <w:numId w:val="11"/>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[None]</w:t>
      </w:r>
    </w:p>
    <w:p w14:paraId="1A02E2C5" w14:textId="77777777" w:rsidR="00DA265E" w:rsidRPr="00DA265E" w:rsidRDefault="00DA265E" w:rsidP="00DA265E">
      <w:pPr>
        <w:numPr>
          <w:ilvl w:val="0"/>
          <w:numId w:val="11"/>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BASIC ETHICAL PRINCIPLES AND THEORIES</w:t>
      </w:r>
    </w:p>
    <w:p w14:paraId="7BC25237" w14:textId="77777777" w:rsidR="00DA265E" w:rsidRPr="00DA265E" w:rsidRDefault="00DA265E" w:rsidP="00DA265E">
      <w:pPr>
        <w:numPr>
          <w:ilvl w:val="1"/>
          <w:numId w:val="11"/>
        </w:numPr>
        <w:spacing w:beforeAutospacing="1" w:afterAutospacing="1"/>
        <w:ind w:left="2190"/>
        <w:rPr>
          <w:rFonts w:ascii="Lato" w:eastAsia="Times New Roman" w:hAnsi="Lato"/>
          <w:color w:val="2D3B45"/>
          <w:kern w:val="0"/>
          <w14:ligatures w14:val="none"/>
        </w:rPr>
      </w:pPr>
      <w:hyperlink r:id="rId9" w:tgtFrame="_blank" w:history="1">
        <w:r w:rsidRPr="00DA265E">
          <w:rPr>
            <w:rFonts w:ascii="Lato" w:eastAsia="Times New Roman" w:hAnsi="Lato"/>
            <w:color w:val="0000FF"/>
            <w:kern w:val="0"/>
            <w:u w:val="single"/>
            <w14:ligatures w14:val="none"/>
          </w:rPr>
          <w:t>Belmont Report(Links to an external site.)</w:t>
        </w:r>
        <w:r w:rsidRPr="00DA265E">
          <w:rPr>
            <w:rFonts w:ascii="Lato" w:eastAsia="Times New Roman" w:hAnsi="Lato"/>
            <w:color w:val="0000FF"/>
            <w:kern w:val="0"/>
            <w:u w:val="single"/>
            <w:bdr w:val="none" w:sz="0" w:space="0" w:color="auto" w:frame="1"/>
            <w14:ligatures w14:val="none"/>
          </w:rPr>
          <w:t>Links to an external site.</w:t>
        </w:r>
      </w:hyperlink>
      <w:r w:rsidRPr="00DA265E">
        <w:rPr>
          <w:rFonts w:ascii="Lato" w:eastAsia="Times New Roman" w:hAnsi="Lato"/>
          <w:color w:val="2D3B45"/>
          <w:kern w:val="0"/>
          <w14:ligatures w14:val="none"/>
        </w:rPr>
        <w:t> </w:t>
      </w:r>
    </w:p>
    <w:p w14:paraId="68D90017"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u w:val="single"/>
          <w14:ligatures w14:val="none"/>
        </w:rPr>
        <w:t>Week 2- August 31: History</w:t>
      </w:r>
    </w:p>
    <w:p w14:paraId="67E552C9"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b/>
          <w:bCs/>
          <w:color w:val="2D3B45"/>
          <w:kern w:val="0"/>
          <w14:ligatures w14:val="none"/>
        </w:rPr>
        <w:t>TOPICS</w:t>
      </w:r>
      <w:r w:rsidRPr="00DA265E">
        <w:rPr>
          <w:rFonts w:ascii="Lato" w:eastAsia="Times New Roman" w:hAnsi="Lato"/>
          <w:color w:val="2D3B45"/>
          <w:kern w:val="0"/>
          <w14:ligatures w14:val="none"/>
        </w:rPr>
        <w:t>: Human subjects, research misconduct, contemporary issues, the scientist in society</w:t>
      </w:r>
    </w:p>
    <w:p w14:paraId="63A5E074"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i/>
          <w:iCs/>
          <w:color w:val="2D3B45"/>
          <w:kern w:val="0"/>
          <w14:ligatures w14:val="none"/>
        </w:rPr>
        <w:t>Introduction – Colin Halverson</w:t>
      </w:r>
    </w:p>
    <w:p w14:paraId="6DA0B082" w14:textId="77777777" w:rsidR="00DA265E" w:rsidRPr="00DA265E" w:rsidRDefault="00DA265E" w:rsidP="00DA265E">
      <w:pPr>
        <w:numPr>
          <w:ilvl w:val="0"/>
          <w:numId w:val="12"/>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History of Research with Human subjects – Steven Jay</w:t>
      </w:r>
    </w:p>
    <w:p w14:paraId="48A05A6C" w14:textId="77777777" w:rsidR="00DA265E" w:rsidRPr="00DA265E" w:rsidRDefault="00DA265E" w:rsidP="00DA265E">
      <w:pPr>
        <w:numPr>
          <w:ilvl w:val="0"/>
          <w:numId w:val="12"/>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Cases in the History of Medical Ethics – Nic Oliver</w:t>
      </w:r>
    </w:p>
    <w:p w14:paraId="4AB9A9FD"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b/>
          <w:bCs/>
          <w:color w:val="2D3B45"/>
          <w:kern w:val="0"/>
          <w14:ligatures w14:val="none"/>
        </w:rPr>
        <w:t>REQUIRED READINGS</w:t>
      </w:r>
      <w:r w:rsidRPr="00DA265E">
        <w:rPr>
          <w:rFonts w:ascii="Lato" w:eastAsia="Times New Roman" w:hAnsi="Lato"/>
          <w:color w:val="2D3B45"/>
          <w:kern w:val="0"/>
          <w14:ligatures w14:val="none"/>
        </w:rPr>
        <w:t>:</w:t>
      </w:r>
    </w:p>
    <w:p w14:paraId="4FBB370F" w14:textId="77777777" w:rsidR="00DA265E" w:rsidRPr="00DA265E" w:rsidRDefault="00DA265E" w:rsidP="00DA265E">
      <w:pPr>
        <w:numPr>
          <w:ilvl w:val="0"/>
          <w:numId w:val="13"/>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HISTORY OF RESEARCH WITH HUMAN SUBJECTS</w:t>
      </w:r>
    </w:p>
    <w:p w14:paraId="5C3C26B8" w14:textId="77777777" w:rsidR="00DA265E" w:rsidRPr="00DA265E" w:rsidRDefault="00DA265E" w:rsidP="00DA265E">
      <w:pPr>
        <w:numPr>
          <w:ilvl w:val="1"/>
          <w:numId w:val="13"/>
        </w:numPr>
        <w:spacing w:beforeAutospacing="1"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Cavanaugh D, Walter Reed and the Scourge of Yellow Fever. UVA Today, Nov 13, 2019. </w:t>
      </w:r>
      <w:hyperlink r:id="rId10" w:tgtFrame="_blank" w:history="1">
        <w:r w:rsidRPr="00DA265E">
          <w:rPr>
            <w:rFonts w:ascii="Lato" w:eastAsia="Times New Roman" w:hAnsi="Lato"/>
            <w:color w:val="0000FF"/>
            <w:kern w:val="0"/>
            <w:u w:val="single"/>
            <w14:ligatures w14:val="none"/>
          </w:rPr>
          <w:t>https://news.virginia.edu/content/walter-</w:t>
        </w:r>
        <w:r w:rsidRPr="00DA265E">
          <w:rPr>
            <w:rFonts w:ascii="Lato" w:eastAsia="Times New Roman" w:hAnsi="Lato"/>
            <w:color w:val="0000FF"/>
            <w:kern w:val="0"/>
            <w:u w:val="single"/>
            <w14:ligatures w14:val="none"/>
          </w:rPr>
          <w:lastRenderedPageBreak/>
          <w:t>reed-and-scourge-yellow-fever(Links to an external site.)</w:t>
        </w:r>
        <w:r w:rsidRPr="00DA265E">
          <w:rPr>
            <w:rFonts w:ascii="Lato" w:eastAsia="Times New Roman" w:hAnsi="Lato"/>
            <w:color w:val="0000FF"/>
            <w:kern w:val="0"/>
            <w:u w:val="single"/>
            <w:bdr w:val="none" w:sz="0" w:space="0" w:color="auto" w:frame="1"/>
            <w14:ligatures w14:val="none"/>
          </w:rPr>
          <w:t>Links to an external site.</w:t>
        </w:r>
      </w:hyperlink>
    </w:p>
    <w:p w14:paraId="0AA64CBE" w14:textId="77777777" w:rsidR="00DA265E" w:rsidRPr="00DA265E" w:rsidRDefault="00DA265E" w:rsidP="00DA265E">
      <w:pPr>
        <w:numPr>
          <w:ilvl w:val="0"/>
          <w:numId w:val="14"/>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CASES IN THE HISTORY OF ETHICS</w:t>
      </w:r>
    </w:p>
    <w:p w14:paraId="28DADE15" w14:textId="77777777" w:rsidR="00DA265E" w:rsidRPr="00DA265E" w:rsidRDefault="00DA265E" w:rsidP="00DA265E">
      <w:pPr>
        <w:numPr>
          <w:ilvl w:val="1"/>
          <w:numId w:val="14"/>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ASM Reading Pgs. 1206-1209</w:t>
      </w:r>
    </w:p>
    <w:p w14:paraId="6F8682EC"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b/>
          <w:bCs/>
          <w:color w:val="2D3B45"/>
          <w:kern w:val="0"/>
          <w14:ligatures w14:val="none"/>
        </w:rPr>
        <w:t>OPTIONAL READINGS</w:t>
      </w:r>
      <w:r w:rsidRPr="00DA265E">
        <w:rPr>
          <w:rFonts w:ascii="Lato" w:eastAsia="Times New Roman" w:hAnsi="Lato"/>
          <w:color w:val="2D3B45"/>
          <w:kern w:val="0"/>
          <w14:ligatures w14:val="none"/>
        </w:rPr>
        <w:t>:</w:t>
      </w:r>
    </w:p>
    <w:p w14:paraId="165999E3" w14:textId="77777777" w:rsidR="00DA265E" w:rsidRPr="00DA265E" w:rsidRDefault="00DA265E" w:rsidP="00DA265E">
      <w:pPr>
        <w:numPr>
          <w:ilvl w:val="0"/>
          <w:numId w:val="15"/>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HISTORY OF RESEARCH WITH HUMAN SUBJECTS</w:t>
      </w:r>
    </w:p>
    <w:p w14:paraId="06716093" w14:textId="77777777" w:rsidR="00DA265E" w:rsidRPr="00DA265E" w:rsidRDefault="00DA265E" w:rsidP="00DA265E">
      <w:pPr>
        <w:numPr>
          <w:ilvl w:val="1"/>
          <w:numId w:val="15"/>
        </w:numPr>
        <w:spacing w:beforeAutospacing="1"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Jay essay on Reed: “A Fever When Walter Came to Indianapolis”, Indianapolis Literary Club, Feb 3, 2014, </w:t>
      </w:r>
      <w:hyperlink r:id="rId11" w:tgtFrame="_blank" w:history="1">
        <w:r w:rsidRPr="00DA265E">
          <w:rPr>
            <w:rFonts w:ascii="Lato" w:eastAsia="Times New Roman" w:hAnsi="Lato"/>
            <w:color w:val="0000FF"/>
            <w:kern w:val="0"/>
            <w:u w:val="single"/>
            <w14:ligatures w14:val="none"/>
          </w:rPr>
          <w:t>http://literaryclub.org/sitebuildercontent/sitebuilderfiles/sjjay.pdf(Links to an external site.)</w:t>
        </w:r>
        <w:r w:rsidRPr="00DA265E">
          <w:rPr>
            <w:rFonts w:ascii="Lato" w:eastAsia="Times New Roman" w:hAnsi="Lato"/>
            <w:color w:val="0000FF"/>
            <w:kern w:val="0"/>
            <w:u w:val="single"/>
            <w:bdr w:val="none" w:sz="0" w:space="0" w:color="auto" w:frame="1"/>
            <w14:ligatures w14:val="none"/>
          </w:rPr>
          <w:t>Links to an external site.</w:t>
        </w:r>
      </w:hyperlink>
    </w:p>
    <w:p w14:paraId="4692A957" w14:textId="77777777" w:rsidR="00DA265E" w:rsidRPr="00DA265E" w:rsidRDefault="00DA265E" w:rsidP="00DA265E">
      <w:pPr>
        <w:numPr>
          <w:ilvl w:val="1"/>
          <w:numId w:val="15"/>
        </w:numPr>
        <w:spacing w:beforeAutospacing="1"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Kumar NK. Informed consent: Past and present. Perspect Clin Res 2013 Jan-Mar; 4(1):21-25. doi: 10.4103/2229-3485.106372. </w:t>
      </w:r>
      <w:hyperlink r:id="rId12" w:tgtFrame="_blank" w:history="1">
        <w:r w:rsidRPr="00DA265E">
          <w:rPr>
            <w:rFonts w:ascii="Lato" w:eastAsia="Times New Roman" w:hAnsi="Lato"/>
            <w:color w:val="0000FF"/>
            <w:kern w:val="0"/>
            <w:u w:val="single"/>
            <w14:ligatures w14:val="none"/>
          </w:rPr>
          <w:t>https://www.ncbi.nlm.nih.gov/pmc/articles/PMC3601698/(Links to an external site.)</w:t>
        </w:r>
        <w:r w:rsidRPr="00DA265E">
          <w:rPr>
            <w:rFonts w:ascii="Lato" w:eastAsia="Times New Roman" w:hAnsi="Lato"/>
            <w:color w:val="0000FF"/>
            <w:kern w:val="0"/>
            <w:u w:val="single"/>
            <w:bdr w:val="none" w:sz="0" w:space="0" w:color="auto" w:frame="1"/>
            <w14:ligatures w14:val="none"/>
          </w:rPr>
          <w:t>Links to an external site.</w:t>
        </w:r>
      </w:hyperlink>
    </w:p>
    <w:p w14:paraId="03774274" w14:textId="77777777" w:rsidR="00DA265E" w:rsidRPr="00DA265E" w:rsidRDefault="00DA265E" w:rsidP="00DA265E">
      <w:pPr>
        <w:numPr>
          <w:ilvl w:val="1"/>
          <w:numId w:val="15"/>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i/>
          <w:iCs/>
          <w:color w:val="2D3B45"/>
          <w:kern w:val="0"/>
          <w14:ligatures w14:val="none"/>
        </w:rPr>
        <w:t>Yellow Yack: How Yellow Fever Ravaged America and Walter Reed Discovered its deadly secrets</w:t>
      </w:r>
      <w:r w:rsidRPr="00DA265E">
        <w:rPr>
          <w:rFonts w:ascii="Lato" w:eastAsia="Times New Roman" w:hAnsi="Lato"/>
          <w:color w:val="2D3B45"/>
          <w:kern w:val="0"/>
          <w14:ligatures w14:val="none"/>
        </w:rPr>
        <w:t>. Wiley &amp; sons 2005</w:t>
      </w:r>
    </w:p>
    <w:p w14:paraId="113D196F" w14:textId="77777777" w:rsidR="00DA265E" w:rsidRPr="00DA265E" w:rsidRDefault="00DA265E" w:rsidP="00DA265E">
      <w:pPr>
        <w:numPr>
          <w:ilvl w:val="0"/>
          <w:numId w:val="16"/>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CASES IN THE HISTORY OF ETHICS</w:t>
      </w:r>
    </w:p>
    <w:p w14:paraId="70058120" w14:textId="77777777" w:rsidR="00DA265E" w:rsidRPr="00DA265E" w:rsidRDefault="00DA265E" w:rsidP="00DA265E">
      <w:pPr>
        <w:numPr>
          <w:ilvl w:val="1"/>
          <w:numId w:val="16"/>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Salk Field Trials</w:t>
      </w:r>
    </w:p>
    <w:p w14:paraId="1E37A59C" w14:textId="77777777" w:rsidR="00DA265E" w:rsidRPr="00DA265E" w:rsidRDefault="00DA265E" w:rsidP="00DA265E">
      <w:pPr>
        <w:numPr>
          <w:ilvl w:val="1"/>
          <w:numId w:val="16"/>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Moore v. Regents</w:t>
      </w:r>
    </w:p>
    <w:p w14:paraId="57D9043F"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u w:val="single"/>
          <w14:ligatures w14:val="none"/>
        </w:rPr>
        <w:t>Week 3- September 7: Law, Policy, and Ethics</w:t>
      </w:r>
    </w:p>
    <w:p w14:paraId="3B84D607"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b/>
          <w:bCs/>
          <w:color w:val="2D3B45"/>
          <w:kern w:val="0"/>
          <w14:ligatures w14:val="none"/>
        </w:rPr>
        <w:t>TOPICS</w:t>
      </w:r>
      <w:r w:rsidRPr="00DA265E">
        <w:rPr>
          <w:rFonts w:ascii="Lato" w:eastAsia="Times New Roman" w:hAnsi="Lato"/>
          <w:color w:val="2D3B45"/>
          <w:kern w:val="0"/>
          <w14:ligatures w14:val="none"/>
        </w:rPr>
        <w:t>: Human subjects, research misconduct, environmental/societal impacts, the scientist in society, contemporary issues</w:t>
      </w:r>
    </w:p>
    <w:p w14:paraId="7213AF05"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i/>
          <w:iCs/>
          <w:color w:val="2D3B45"/>
          <w:kern w:val="0"/>
          <w14:ligatures w14:val="none"/>
        </w:rPr>
        <w:t>Introduction – Colin Halverson</w:t>
      </w:r>
    </w:p>
    <w:p w14:paraId="782E42E8" w14:textId="77777777" w:rsidR="00DA265E" w:rsidRPr="00DA265E" w:rsidRDefault="00DA265E" w:rsidP="00DA265E">
      <w:pPr>
        <w:numPr>
          <w:ilvl w:val="0"/>
          <w:numId w:val="17"/>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IU policies – Amy Waltz</w:t>
      </w:r>
    </w:p>
    <w:p w14:paraId="21C9B44C" w14:textId="77777777" w:rsidR="00DA265E" w:rsidRPr="00DA265E" w:rsidRDefault="00DA265E" w:rsidP="00DA265E">
      <w:pPr>
        <w:numPr>
          <w:ilvl w:val="0"/>
          <w:numId w:val="17"/>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Law and Ethics – Jane Hartsock</w:t>
      </w:r>
    </w:p>
    <w:p w14:paraId="52167E62"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b/>
          <w:bCs/>
          <w:color w:val="2D3B45"/>
          <w:kern w:val="0"/>
          <w14:ligatures w14:val="none"/>
        </w:rPr>
        <w:t>REQUIRED READINGS</w:t>
      </w:r>
      <w:r w:rsidRPr="00DA265E">
        <w:rPr>
          <w:rFonts w:ascii="Lato" w:eastAsia="Times New Roman" w:hAnsi="Lato"/>
          <w:color w:val="2D3B45"/>
          <w:kern w:val="0"/>
          <w14:ligatures w14:val="none"/>
        </w:rPr>
        <w:t>:</w:t>
      </w:r>
    </w:p>
    <w:p w14:paraId="43FB46F9" w14:textId="77777777" w:rsidR="00DA265E" w:rsidRPr="00DA265E" w:rsidRDefault="00DA265E" w:rsidP="00DA265E">
      <w:pPr>
        <w:numPr>
          <w:ilvl w:val="0"/>
          <w:numId w:val="18"/>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IU POLICIES</w:t>
      </w:r>
    </w:p>
    <w:p w14:paraId="19DEA257" w14:textId="77777777" w:rsidR="00DA265E" w:rsidRPr="00DA265E" w:rsidRDefault="00DA265E" w:rsidP="00DA265E">
      <w:pPr>
        <w:numPr>
          <w:ilvl w:val="1"/>
          <w:numId w:val="18"/>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[None]</w:t>
      </w:r>
    </w:p>
    <w:p w14:paraId="0D069BF4" w14:textId="77777777" w:rsidR="00DA265E" w:rsidRPr="00DA265E" w:rsidRDefault="00DA265E" w:rsidP="00DA265E">
      <w:pPr>
        <w:numPr>
          <w:ilvl w:val="0"/>
          <w:numId w:val="18"/>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LAW AND ETHICS</w:t>
      </w:r>
    </w:p>
    <w:p w14:paraId="5199A9E5" w14:textId="77777777" w:rsidR="00DA265E" w:rsidRPr="00DA265E" w:rsidRDefault="00DA265E" w:rsidP="00DA265E">
      <w:pPr>
        <w:numPr>
          <w:ilvl w:val="1"/>
          <w:numId w:val="18"/>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[None]</w:t>
      </w:r>
    </w:p>
    <w:p w14:paraId="0F179042"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b/>
          <w:bCs/>
          <w:color w:val="2D3B45"/>
          <w:kern w:val="0"/>
          <w14:ligatures w14:val="none"/>
        </w:rPr>
        <w:t>OPTIONAL READINGS</w:t>
      </w:r>
      <w:r w:rsidRPr="00DA265E">
        <w:rPr>
          <w:rFonts w:ascii="Lato" w:eastAsia="Times New Roman" w:hAnsi="Lato"/>
          <w:color w:val="2D3B45"/>
          <w:kern w:val="0"/>
          <w14:ligatures w14:val="none"/>
        </w:rPr>
        <w:t>:</w:t>
      </w:r>
    </w:p>
    <w:p w14:paraId="1605F431" w14:textId="77777777" w:rsidR="00DA265E" w:rsidRPr="00DA265E" w:rsidRDefault="00DA265E" w:rsidP="00DA265E">
      <w:pPr>
        <w:numPr>
          <w:ilvl w:val="0"/>
          <w:numId w:val="19"/>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IU POLICIES</w:t>
      </w:r>
    </w:p>
    <w:p w14:paraId="7D75C8D3" w14:textId="77777777" w:rsidR="00DA265E" w:rsidRPr="00DA265E" w:rsidRDefault="00DA265E" w:rsidP="00DA265E">
      <w:pPr>
        <w:numPr>
          <w:ilvl w:val="1"/>
          <w:numId w:val="19"/>
        </w:numPr>
        <w:spacing w:beforeAutospacing="1"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lastRenderedPageBreak/>
        <w:t>Federal Research Misconduct Policy: </w:t>
      </w:r>
      <w:hyperlink r:id="rId13" w:tgtFrame="_blank" w:history="1">
        <w:r w:rsidRPr="00DA265E">
          <w:rPr>
            <w:rFonts w:ascii="Lato" w:eastAsia="Times New Roman" w:hAnsi="Lato"/>
            <w:color w:val="0000FF"/>
            <w:kern w:val="0"/>
            <w:u w:val="single"/>
            <w14:ligatures w14:val="none"/>
          </w:rPr>
          <w:t>https://ori.hhs.gov/federal-research-misconduct-policy(Links to an external site.)</w:t>
        </w:r>
        <w:r w:rsidRPr="00DA265E">
          <w:rPr>
            <w:rFonts w:ascii="Lato" w:eastAsia="Times New Roman" w:hAnsi="Lato"/>
            <w:color w:val="0000FF"/>
            <w:kern w:val="0"/>
            <w:u w:val="single"/>
            <w:bdr w:val="none" w:sz="0" w:space="0" w:color="auto" w:frame="1"/>
            <w14:ligatures w14:val="none"/>
          </w:rPr>
          <w:t>Links to an external site.</w:t>
        </w:r>
      </w:hyperlink>
    </w:p>
    <w:p w14:paraId="2AA63C5E" w14:textId="77777777" w:rsidR="00DA265E" w:rsidRPr="00DA265E" w:rsidRDefault="00DA265E" w:rsidP="00DA265E">
      <w:pPr>
        <w:numPr>
          <w:ilvl w:val="1"/>
          <w:numId w:val="19"/>
        </w:numPr>
        <w:spacing w:beforeAutospacing="1"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IU Policy on Research Misconduct: </w:t>
      </w:r>
      <w:hyperlink r:id="rId14" w:tgtFrame="_blank" w:history="1">
        <w:r w:rsidRPr="00DA265E">
          <w:rPr>
            <w:rFonts w:ascii="Lato" w:eastAsia="Times New Roman" w:hAnsi="Lato"/>
            <w:color w:val="0000FF"/>
            <w:kern w:val="0"/>
            <w:u w:val="single"/>
            <w14:ligatures w14:val="none"/>
          </w:rPr>
          <w:t>https://policies.iu.edu/policies/aca-30-research-misconduct/index.html(Links to an external site.)</w:t>
        </w:r>
        <w:r w:rsidRPr="00DA265E">
          <w:rPr>
            <w:rFonts w:ascii="Lato" w:eastAsia="Times New Roman" w:hAnsi="Lato"/>
            <w:color w:val="0000FF"/>
            <w:kern w:val="0"/>
            <w:u w:val="single"/>
            <w:bdr w:val="none" w:sz="0" w:space="0" w:color="auto" w:frame="1"/>
            <w14:ligatures w14:val="none"/>
          </w:rPr>
          <w:t>Links to an external site.</w:t>
        </w:r>
      </w:hyperlink>
    </w:p>
    <w:p w14:paraId="4666A369" w14:textId="77777777" w:rsidR="00DA265E" w:rsidRPr="00DA265E" w:rsidRDefault="00DA265E" w:rsidP="00DA265E">
      <w:pPr>
        <w:numPr>
          <w:ilvl w:val="0"/>
          <w:numId w:val="19"/>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LAW AND ETHICS</w:t>
      </w:r>
    </w:p>
    <w:p w14:paraId="6A97D500" w14:textId="77777777" w:rsidR="00DA265E" w:rsidRPr="00DA265E" w:rsidRDefault="00DA265E" w:rsidP="00DA265E">
      <w:pPr>
        <w:numPr>
          <w:ilvl w:val="1"/>
          <w:numId w:val="19"/>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[None]</w:t>
      </w:r>
    </w:p>
    <w:p w14:paraId="5DD34361"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u w:val="single"/>
          <w14:ligatures w14:val="none"/>
        </w:rPr>
        <w:t>Week 4- September 14:  Misconduct and Plagiarism</w:t>
      </w:r>
    </w:p>
    <w:p w14:paraId="0CCCCD0A"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TOPICS: Human subjects, collaboration, contemporary issues, data management, research misconduct, the scientist in society</w:t>
      </w:r>
    </w:p>
    <w:p w14:paraId="27E2A238"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i/>
          <w:iCs/>
          <w:color w:val="2D3B45"/>
          <w:kern w:val="0"/>
          <w14:ligatures w14:val="none"/>
        </w:rPr>
        <w:t>Introduction – Colin Halverson</w:t>
      </w:r>
    </w:p>
    <w:p w14:paraId="3C7610EA" w14:textId="77777777" w:rsidR="00DA265E" w:rsidRPr="00DA265E" w:rsidRDefault="00DA265E" w:rsidP="00DA265E">
      <w:pPr>
        <w:numPr>
          <w:ilvl w:val="0"/>
          <w:numId w:val="20"/>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Misconduct – Sylk Sotto</w:t>
      </w:r>
    </w:p>
    <w:p w14:paraId="1873C14B" w14:textId="77777777" w:rsidR="00DA265E" w:rsidRPr="00DA265E" w:rsidRDefault="00DA265E" w:rsidP="00DA265E">
      <w:pPr>
        <w:numPr>
          <w:ilvl w:val="0"/>
          <w:numId w:val="20"/>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Plagiarism – Jane Hartsock</w:t>
      </w:r>
    </w:p>
    <w:p w14:paraId="2BCB1D62"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b/>
          <w:bCs/>
          <w:color w:val="2D3B45"/>
          <w:kern w:val="0"/>
          <w14:ligatures w14:val="none"/>
        </w:rPr>
        <w:t>REQUIRED READINGS</w:t>
      </w:r>
      <w:r w:rsidRPr="00DA265E">
        <w:rPr>
          <w:rFonts w:ascii="Lato" w:eastAsia="Times New Roman" w:hAnsi="Lato"/>
          <w:color w:val="2D3B45"/>
          <w:kern w:val="0"/>
          <w14:ligatures w14:val="none"/>
        </w:rPr>
        <w:t>:</w:t>
      </w:r>
    </w:p>
    <w:p w14:paraId="2A3308DA" w14:textId="77777777" w:rsidR="00DA265E" w:rsidRPr="00DA265E" w:rsidRDefault="00DA265E" w:rsidP="00DA265E">
      <w:pPr>
        <w:numPr>
          <w:ilvl w:val="0"/>
          <w:numId w:val="21"/>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MISCONDUCT</w:t>
      </w:r>
    </w:p>
    <w:p w14:paraId="02E75B48" w14:textId="77777777" w:rsidR="00DA265E" w:rsidRPr="00DA265E" w:rsidRDefault="00DA265E" w:rsidP="00DA265E">
      <w:pPr>
        <w:numPr>
          <w:ilvl w:val="1"/>
          <w:numId w:val="22"/>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Goodyear “The stress test”</w:t>
      </w:r>
    </w:p>
    <w:p w14:paraId="00A58299" w14:textId="77777777" w:rsidR="00DA265E" w:rsidRPr="00DA265E" w:rsidRDefault="00DA265E" w:rsidP="00DA265E">
      <w:pPr>
        <w:numPr>
          <w:ilvl w:val="1"/>
          <w:numId w:val="22"/>
        </w:numPr>
        <w:spacing w:beforeAutospacing="1" w:afterAutospacing="1"/>
        <w:ind w:left="2190"/>
        <w:rPr>
          <w:rFonts w:ascii="Lato" w:eastAsia="Times New Roman" w:hAnsi="Lato"/>
          <w:color w:val="2D3B45"/>
          <w:kern w:val="0"/>
          <w14:ligatures w14:val="none"/>
        </w:rPr>
      </w:pPr>
      <w:hyperlink r:id="rId15" w:tgtFrame="_blank" w:history="1">
        <w:r w:rsidRPr="00DA265E">
          <w:rPr>
            <w:rFonts w:ascii="Lato" w:eastAsia="Times New Roman" w:hAnsi="Lato"/>
            <w:color w:val="0000FF"/>
            <w:kern w:val="0"/>
            <w:u w:val="single"/>
            <w14:ligatures w14:val="none"/>
          </w:rPr>
          <w:t>Timeline: When Bad Research Changes Public Health Strategy (Links to an external site.)</w:t>
        </w:r>
        <w:r w:rsidRPr="00DA265E">
          <w:rPr>
            <w:rFonts w:ascii="Lato" w:eastAsia="Times New Roman" w:hAnsi="Lato"/>
            <w:color w:val="0000FF"/>
            <w:kern w:val="0"/>
            <w:u w:val="single"/>
            <w:bdr w:val="none" w:sz="0" w:space="0" w:color="auto" w:frame="1"/>
            <w14:ligatures w14:val="none"/>
          </w:rPr>
          <w:t>Links to an external site.</w:t>
        </w:r>
      </w:hyperlink>
    </w:p>
    <w:p w14:paraId="688FC5DA" w14:textId="77777777" w:rsidR="00DA265E" w:rsidRPr="00DA265E" w:rsidRDefault="00DA265E" w:rsidP="00DA265E">
      <w:pPr>
        <w:numPr>
          <w:ilvl w:val="0"/>
          <w:numId w:val="23"/>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PLAGIARISM</w:t>
      </w:r>
    </w:p>
    <w:p w14:paraId="6EA63BB7" w14:textId="77777777" w:rsidR="00DA265E" w:rsidRPr="00DA265E" w:rsidRDefault="00DA265E" w:rsidP="00DA265E">
      <w:pPr>
        <w:numPr>
          <w:ilvl w:val="1"/>
          <w:numId w:val="24"/>
        </w:numPr>
        <w:spacing w:beforeAutospacing="1"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 ICMJE “</w:t>
      </w:r>
      <w:hyperlink r:id="rId16" w:tgtFrame="_blank" w:history="1">
        <w:r w:rsidRPr="00DA265E">
          <w:rPr>
            <w:rFonts w:ascii="Lato" w:eastAsia="Times New Roman" w:hAnsi="Lato"/>
            <w:color w:val="0000FF"/>
            <w:kern w:val="0"/>
            <w:u w:val="single"/>
            <w14:ligatures w14:val="none"/>
          </w:rPr>
          <w:t>Defining the role of authors and contributors (Links to an external site.)</w:t>
        </w:r>
        <w:r w:rsidRPr="00DA265E">
          <w:rPr>
            <w:rFonts w:ascii="Lato" w:eastAsia="Times New Roman" w:hAnsi="Lato"/>
            <w:color w:val="0000FF"/>
            <w:kern w:val="0"/>
            <w:u w:val="single"/>
            <w:bdr w:val="none" w:sz="0" w:space="0" w:color="auto" w:frame="1"/>
            <w14:ligatures w14:val="none"/>
          </w:rPr>
          <w:t>Links to an external site.</w:t>
        </w:r>
      </w:hyperlink>
      <w:r w:rsidRPr="00DA265E">
        <w:rPr>
          <w:rFonts w:ascii="Lato" w:eastAsia="Times New Roman" w:hAnsi="Lato"/>
          <w:color w:val="2D3B45"/>
          <w:kern w:val="0"/>
          <w14:ligatures w14:val="none"/>
        </w:rPr>
        <w:t>”</w:t>
      </w:r>
    </w:p>
    <w:p w14:paraId="7A4DCE6B" w14:textId="77777777" w:rsidR="00DA265E" w:rsidRPr="00DA265E" w:rsidRDefault="00DA265E" w:rsidP="00DA265E">
      <w:pPr>
        <w:numPr>
          <w:ilvl w:val="1"/>
          <w:numId w:val="24"/>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McKarney “Peer-review techniques for novices"</w:t>
      </w:r>
    </w:p>
    <w:p w14:paraId="15F4D124"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b/>
          <w:bCs/>
          <w:color w:val="2D3B45"/>
          <w:kern w:val="0"/>
          <w14:ligatures w14:val="none"/>
        </w:rPr>
        <w:t>OPTIONAL READINGS</w:t>
      </w:r>
      <w:r w:rsidRPr="00DA265E">
        <w:rPr>
          <w:rFonts w:ascii="Lato" w:eastAsia="Times New Roman" w:hAnsi="Lato"/>
          <w:color w:val="2D3B45"/>
          <w:kern w:val="0"/>
          <w14:ligatures w14:val="none"/>
        </w:rPr>
        <w:t>:</w:t>
      </w:r>
    </w:p>
    <w:p w14:paraId="6C0805B4" w14:textId="77777777" w:rsidR="00DA265E" w:rsidRPr="00DA265E" w:rsidRDefault="00DA265E" w:rsidP="00DA265E">
      <w:pPr>
        <w:numPr>
          <w:ilvl w:val="0"/>
          <w:numId w:val="25"/>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MISCONDUCT</w:t>
      </w:r>
    </w:p>
    <w:p w14:paraId="0ACFAA01" w14:textId="77777777" w:rsidR="00DA265E" w:rsidRPr="00DA265E" w:rsidRDefault="00DA265E" w:rsidP="00DA265E">
      <w:pPr>
        <w:numPr>
          <w:ilvl w:val="1"/>
          <w:numId w:val="26"/>
        </w:numPr>
        <w:spacing w:beforeAutospacing="1" w:afterAutospacing="1"/>
        <w:ind w:left="2190"/>
        <w:rPr>
          <w:rFonts w:ascii="Lato" w:eastAsia="Times New Roman" w:hAnsi="Lato"/>
          <w:color w:val="2D3B45"/>
          <w:kern w:val="0"/>
          <w14:ligatures w14:val="none"/>
        </w:rPr>
      </w:pPr>
      <w:hyperlink r:id="rId17" w:tgtFrame="_blank" w:history="1">
        <w:r w:rsidRPr="00DA265E">
          <w:rPr>
            <w:rFonts w:ascii="Lato" w:eastAsia="Times New Roman" w:hAnsi="Lato"/>
            <w:color w:val="0000FF"/>
            <w:kern w:val="0"/>
            <w:u w:val="single"/>
            <w14:ligatures w14:val="none"/>
          </w:rPr>
          <w:t>Marcus et al “The top 10 retractions of 2019” (Links to an external site.)</w:t>
        </w:r>
        <w:r w:rsidRPr="00DA265E">
          <w:rPr>
            <w:rFonts w:ascii="Lato" w:eastAsia="Times New Roman" w:hAnsi="Lato"/>
            <w:color w:val="0000FF"/>
            <w:kern w:val="0"/>
            <w:u w:val="single"/>
            <w:bdr w:val="none" w:sz="0" w:space="0" w:color="auto" w:frame="1"/>
            <w14:ligatures w14:val="none"/>
          </w:rPr>
          <w:t>Links to an external site.</w:t>
        </w:r>
      </w:hyperlink>
    </w:p>
    <w:p w14:paraId="5BB99325" w14:textId="77777777" w:rsidR="00DA265E" w:rsidRPr="00DA265E" w:rsidRDefault="00DA265E" w:rsidP="00DA265E">
      <w:pPr>
        <w:numPr>
          <w:ilvl w:val="1"/>
          <w:numId w:val="26"/>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Fanelli “How many scientists fabricate and falsify research?” (2009)</w:t>
      </w:r>
    </w:p>
    <w:p w14:paraId="794EE7C7" w14:textId="77777777" w:rsidR="00DA265E" w:rsidRPr="00DA265E" w:rsidRDefault="00DA265E" w:rsidP="00DA265E">
      <w:pPr>
        <w:numPr>
          <w:ilvl w:val="1"/>
          <w:numId w:val="26"/>
        </w:numPr>
        <w:spacing w:beforeAutospacing="1" w:afterAutospacing="1"/>
        <w:ind w:left="2190"/>
        <w:rPr>
          <w:rFonts w:ascii="Lato" w:eastAsia="Times New Roman" w:hAnsi="Lato"/>
          <w:color w:val="2D3B45"/>
          <w:kern w:val="0"/>
          <w14:ligatures w14:val="none"/>
        </w:rPr>
      </w:pPr>
      <w:hyperlink r:id="rId18" w:tgtFrame="_blank" w:history="1">
        <w:r w:rsidRPr="00DA265E">
          <w:rPr>
            <w:rFonts w:ascii="Lato" w:eastAsia="Times New Roman" w:hAnsi="Lato"/>
            <w:color w:val="0000FF"/>
            <w:kern w:val="0"/>
            <w:u w:val="single"/>
            <w14:ligatures w14:val="none"/>
          </w:rPr>
          <w:t>8% of researchers in Dutch survey have falsified or fabricated data.(2021) (Links to an external site.)</w:t>
        </w:r>
        <w:r w:rsidRPr="00DA265E">
          <w:rPr>
            <w:rFonts w:ascii="Lato" w:eastAsia="Times New Roman" w:hAnsi="Lato"/>
            <w:color w:val="0000FF"/>
            <w:kern w:val="0"/>
            <w:u w:val="single"/>
            <w:bdr w:val="none" w:sz="0" w:space="0" w:color="auto" w:frame="1"/>
            <w14:ligatures w14:val="none"/>
          </w:rPr>
          <w:t>Links to an external site.</w:t>
        </w:r>
      </w:hyperlink>
    </w:p>
    <w:p w14:paraId="631EA85D" w14:textId="77777777" w:rsidR="00DA265E" w:rsidRPr="00DA265E" w:rsidRDefault="00DA265E" w:rsidP="00DA265E">
      <w:pPr>
        <w:numPr>
          <w:ilvl w:val="0"/>
          <w:numId w:val="27"/>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PLAGIARISM</w:t>
      </w:r>
    </w:p>
    <w:p w14:paraId="2A2DE75B" w14:textId="77777777" w:rsidR="00DA265E" w:rsidRPr="00DA265E" w:rsidRDefault="00DA265E" w:rsidP="00DA265E">
      <w:pPr>
        <w:numPr>
          <w:ilvl w:val="1"/>
          <w:numId w:val="27"/>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[None]</w:t>
      </w:r>
    </w:p>
    <w:p w14:paraId="3E11534B"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u w:val="single"/>
          <w14:ligatures w14:val="none"/>
        </w:rPr>
        <w:lastRenderedPageBreak/>
        <w:t>Week 5- September 21: Conflict of Interest &amp; Collaboration</w:t>
      </w:r>
    </w:p>
    <w:p w14:paraId="39B537CB"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b/>
          <w:bCs/>
          <w:color w:val="2D3B45"/>
          <w:kern w:val="0"/>
          <w14:ligatures w14:val="none"/>
        </w:rPr>
        <w:t>TOPICS</w:t>
      </w:r>
      <w:r w:rsidRPr="00DA265E">
        <w:rPr>
          <w:rFonts w:ascii="Lato" w:eastAsia="Times New Roman" w:hAnsi="Lato"/>
          <w:color w:val="2D3B45"/>
          <w:kern w:val="0"/>
          <w14:ligatures w14:val="none"/>
        </w:rPr>
        <w:t>: Conflict of interest, collaboration, the scientist in society</w:t>
      </w:r>
    </w:p>
    <w:p w14:paraId="782A2E86"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i/>
          <w:iCs/>
          <w:color w:val="2D3B45"/>
          <w:kern w:val="0"/>
          <w14:ligatures w14:val="none"/>
        </w:rPr>
        <w:t>Introduction – Colin Halverson</w:t>
      </w:r>
    </w:p>
    <w:p w14:paraId="0547CB56" w14:textId="77777777" w:rsidR="00DA265E" w:rsidRPr="00DA265E" w:rsidRDefault="00DA265E" w:rsidP="00DA265E">
      <w:pPr>
        <w:numPr>
          <w:ilvl w:val="0"/>
          <w:numId w:val="28"/>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Collaboration with industry – Peter Schwartz</w:t>
      </w:r>
    </w:p>
    <w:p w14:paraId="2E505113" w14:textId="77777777" w:rsidR="00DA265E" w:rsidRPr="00DA265E" w:rsidRDefault="00DA265E" w:rsidP="00DA265E">
      <w:pPr>
        <w:numPr>
          <w:ilvl w:val="0"/>
          <w:numId w:val="28"/>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Conflict of interest – Stephanie Jones</w:t>
      </w:r>
    </w:p>
    <w:p w14:paraId="5A430D88"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b/>
          <w:bCs/>
          <w:color w:val="2D3B45"/>
          <w:kern w:val="0"/>
          <w14:ligatures w14:val="none"/>
        </w:rPr>
        <w:t>REQUIRED READINGS</w:t>
      </w:r>
      <w:r w:rsidRPr="00DA265E">
        <w:rPr>
          <w:rFonts w:ascii="Lato" w:eastAsia="Times New Roman" w:hAnsi="Lato"/>
          <w:color w:val="2D3B45"/>
          <w:kern w:val="0"/>
          <w14:ligatures w14:val="none"/>
        </w:rPr>
        <w:t>:</w:t>
      </w:r>
    </w:p>
    <w:p w14:paraId="596B0D1F" w14:textId="77777777" w:rsidR="00DA265E" w:rsidRPr="00DA265E" w:rsidRDefault="00DA265E" w:rsidP="00DA265E">
      <w:pPr>
        <w:numPr>
          <w:ilvl w:val="0"/>
          <w:numId w:val="29"/>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COLLABORATION WITH INDUSTRY</w:t>
      </w:r>
    </w:p>
    <w:p w14:paraId="7AE33B9E" w14:textId="77777777" w:rsidR="00DA265E" w:rsidRPr="00DA265E" w:rsidRDefault="00DA265E" w:rsidP="00DA265E">
      <w:pPr>
        <w:numPr>
          <w:ilvl w:val="1"/>
          <w:numId w:val="29"/>
        </w:numPr>
        <w:spacing w:beforeAutospacing="1"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Indiana University Conflict of Interest and Commitment Policy:</w:t>
      </w:r>
      <w:hyperlink r:id="rId19" w:tgtFrame="_blank" w:history="1">
        <w:r w:rsidRPr="00DA265E">
          <w:rPr>
            <w:rFonts w:ascii="Lato" w:eastAsia="Times New Roman" w:hAnsi="Lato"/>
            <w:color w:val="0000FF"/>
            <w:kern w:val="0"/>
            <w:u w:val="single"/>
            <w14:ligatures w14:val="none"/>
          </w:rPr>
          <w:t>https://policies.iu.edu/policies/ua-17-conflicts-of-interest-commitment/index.html (Links to an external site.)</w:t>
        </w:r>
        <w:r w:rsidRPr="00DA265E">
          <w:rPr>
            <w:rFonts w:ascii="Lato" w:eastAsia="Times New Roman" w:hAnsi="Lato"/>
            <w:color w:val="0000FF"/>
            <w:kern w:val="0"/>
            <w:u w:val="single"/>
            <w:bdr w:val="none" w:sz="0" w:space="0" w:color="auto" w:frame="1"/>
            <w14:ligatures w14:val="none"/>
          </w:rPr>
          <w:t>Links to an external site.</w:t>
        </w:r>
      </w:hyperlink>
    </w:p>
    <w:p w14:paraId="7A732909" w14:textId="77777777" w:rsidR="00DA265E" w:rsidRPr="00DA265E" w:rsidRDefault="00DA265E" w:rsidP="00DA265E">
      <w:pPr>
        <w:numPr>
          <w:ilvl w:val="1"/>
          <w:numId w:val="29"/>
        </w:numPr>
        <w:spacing w:beforeAutospacing="1"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Indiana University School of Medicine “Industry Relations Policy.” Available at: </w:t>
      </w:r>
      <w:hyperlink r:id="rId20" w:tgtFrame="_blank" w:history="1">
        <w:r w:rsidRPr="00DA265E">
          <w:rPr>
            <w:rFonts w:ascii="Lato" w:eastAsia="Times New Roman" w:hAnsi="Lato"/>
            <w:color w:val="0000FF"/>
            <w:kern w:val="0"/>
            <w:u w:val="single"/>
            <w14:ligatures w14:val="none"/>
          </w:rPr>
          <w:t>https://medicine.iu.edu/about/policies-guidelines/industry-relations/(Links to an external site.)</w:t>
        </w:r>
        <w:r w:rsidRPr="00DA265E">
          <w:rPr>
            <w:rFonts w:ascii="Lato" w:eastAsia="Times New Roman" w:hAnsi="Lato"/>
            <w:color w:val="0000FF"/>
            <w:kern w:val="0"/>
            <w:u w:val="single"/>
            <w:bdr w:val="none" w:sz="0" w:space="0" w:color="auto" w:frame="1"/>
            <w14:ligatures w14:val="none"/>
          </w:rPr>
          <w:t>Links to an external site.</w:t>
        </w:r>
      </w:hyperlink>
    </w:p>
    <w:p w14:paraId="2EFA3C3A" w14:textId="77777777" w:rsidR="00DA265E" w:rsidRPr="00DA265E" w:rsidRDefault="00DA265E" w:rsidP="00DA265E">
      <w:pPr>
        <w:numPr>
          <w:ilvl w:val="1"/>
          <w:numId w:val="29"/>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Rosenbaum, Lisa. Reconnecting the dots — reinterpreting industry–physician relations. NEJM 2015; 372(19): 1860-1864.</w:t>
      </w:r>
    </w:p>
    <w:p w14:paraId="50E53D95" w14:textId="77777777" w:rsidR="00DA265E" w:rsidRPr="00DA265E" w:rsidRDefault="00DA265E" w:rsidP="00DA265E">
      <w:pPr>
        <w:numPr>
          <w:ilvl w:val="1"/>
          <w:numId w:val="29"/>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Rosenbaum, Lisa. Understanding bias — the case for careful study. NEJM 2015; 372(20):1959- 1963.</w:t>
      </w:r>
    </w:p>
    <w:p w14:paraId="05786608" w14:textId="77777777" w:rsidR="00DA265E" w:rsidRPr="00DA265E" w:rsidRDefault="00DA265E" w:rsidP="00DA265E">
      <w:pPr>
        <w:numPr>
          <w:ilvl w:val="1"/>
          <w:numId w:val="29"/>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Steinbock R, Kassier JP, and Angell M, “Justifying conflicts of interest in medical journals: a very bad idea,” BMJ 2015; 350.</w:t>
      </w:r>
    </w:p>
    <w:p w14:paraId="76EEFFC5" w14:textId="77777777" w:rsidR="00DA265E" w:rsidRPr="00DA265E" w:rsidRDefault="00DA265E" w:rsidP="00DA265E">
      <w:pPr>
        <w:numPr>
          <w:ilvl w:val="1"/>
          <w:numId w:val="29"/>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Steinbock, Robert, “Chapter 10:  The Gelsinger Case,” pp. 110-120, from Emanuel, E. J., Grady, C. C., Crouch, R. A., Lie, R. K., Miller, F. G., &amp; Wendler, D. D. (Eds.). (2008). The oxford textbook of clinical research ethics. ProQuest Ebook.</w:t>
      </w:r>
    </w:p>
    <w:p w14:paraId="49D7119E" w14:textId="77777777" w:rsidR="00DA265E" w:rsidRPr="00DA265E" w:rsidRDefault="00DA265E" w:rsidP="00DA265E">
      <w:pPr>
        <w:numPr>
          <w:ilvl w:val="0"/>
          <w:numId w:val="29"/>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CONFLICT OF INTEREST</w:t>
      </w:r>
    </w:p>
    <w:p w14:paraId="5ACBA733" w14:textId="77777777" w:rsidR="00DA265E" w:rsidRPr="00DA265E" w:rsidRDefault="00DA265E" w:rsidP="00DA265E">
      <w:pPr>
        <w:numPr>
          <w:ilvl w:val="1"/>
          <w:numId w:val="29"/>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[None]</w:t>
      </w:r>
    </w:p>
    <w:p w14:paraId="51DA3055"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b/>
          <w:bCs/>
          <w:color w:val="2D3B45"/>
          <w:kern w:val="0"/>
          <w14:ligatures w14:val="none"/>
        </w:rPr>
        <w:t>OPTIONAL READINGS</w:t>
      </w:r>
      <w:r w:rsidRPr="00DA265E">
        <w:rPr>
          <w:rFonts w:ascii="Lato" w:eastAsia="Times New Roman" w:hAnsi="Lato"/>
          <w:color w:val="2D3B45"/>
          <w:kern w:val="0"/>
          <w14:ligatures w14:val="none"/>
        </w:rPr>
        <w:t>:</w:t>
      </w:r>
    </w:p>
    <w:p w14:paraId="3A7D20CB" w14:textId="77777777" w:rsidR="00DA265E" w:rsidRPr="00DA265E" w:rsidRDefault="00DA265E" w:rsidP="00DA265E">
      <w:pPr>
        <w:numPr>
          <w:ilvl w:val="0"/>
          <w:numId w:val="30"/>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COLLABORATION WITH INDUSTRY</w:t>
      </w:r>
    </w:p>
    <w:p w14:paraId="6D5FE582" w14:textId="77777777" w:rsidR="00DA265E" w:rsidRPr="00DA265E" w:rsidRDefault="00DA265E" w:rsidP="00DA265E">
      <w:pPr>
        <w:numPr>
          <w:ilvl w:val="0"/>
          <w:numId w:val="30"/>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CONFLICT OF INTEREST</w:t>
      </w:r>
    </w:p>
    <w:p w14:paraId="12F49D4C" w14:textId="77777777" w:rsidR="00DA265E" w:rsidRPr="00DA265E" w:rsidRDefault="00DA265E" w:rsidP="00DA265E">
      <w:pPr>
        <w:numPr>
          <w:ilvl w:val="1"/>
          <w:numId w:val="30"/>
        </w:numPr>
        <w:spacing w:beforeAutospacing="1" w:afterAutospacing="1"/>
        <w:ind w:left="2190"/>
        <w:rPr>
          <w:rFonts w:ascii="Lato" w:eastAsia="Times New Roman" w:hAnsi="Lato"/>
          <w:color w:val="2D3B45"/>
          <w:kern w:val="0"/>
          <w14:ligatures w14:val="none"/>
        </w:rPr>
      </w:pPr>
      <w:hyperlink r:id="rId21" w:tgtFrame="_blank" w:history="1">
        <w:r w:rsidRPr="00DA265E">
          <w:rPr>
            <w:rFonts w:ascii="Lato" w:eastAsia="Times New Roman" w:hAnsi="Lato"/>
            <w:color w:val="0000FF"/>
            <w:kern w:val="0"/>
            <w:u w:val="single"/>
            <w14:ligatures w14:val="none"/>
          </w:rPr>
          <w:t>Indiana University conflict of interest and commitment policy(Links to an external site.)</w:t>
        </w:r>
        <w:r w:rsidRPr="00DA265E">
          <w:rPr>
            <w:rFonts w:ascii="Lato" w:eastAsia="Times New Roman" w:hAnsi="Lato"/>
            <w:color w:val="0000FF"/>
            <w:kern w:val="0"/>
            <w:u w:val="single"/>
            <w:bdr w:val="none" w:sz="0" w:space="0" w:color="auto" w:frame="1"/>
            <w14:ligatures w14:val="none"/>
          </w:rPr>
          <w:t>Links to an external site.</w:t>
        </w:r>
      </w:hyperlink>
    </w:p>
    <w:p w14:paraId="4D4323D5" w14:textId="77777777" w:rsidR="00DA265E" w:rsidRPr="00DA265E" w:rsidRDefault="00DA265E" w:rsidP="00DA265E">
      <w:pPr>
        <w:numPr>
          <w:ilvl w:val="1"/>
          <w:numId w:val="30"/>
        </w:numPr>
        <w:spacing w:beforeAutospacing="1" w:afterAutospacing="1"/>
        <w:ind w:left="2190"/>
        <w:rPr>
          <w:rFonts w:ascii="Lato" w:eastAsia="Times New Roman" w:hAnsi="Lato"/>
          <w:color w:val="2D3B45"/>
          <w:kern w:val="0"/>
          <w14:ligatures w14:val="none"/>
        </w:rPr>
      </w:pPr>
      <w:hyperlink r:id="rId22" w:tgtFrame="_blank" w:history="1">
        <w:r w:rsidRPr="00DA265E">
          <w:rPr>
            <w:rFonts w:ascii="Lato" w:eastAsia="Times New Roman" w:hAnsi="Lato"/>
            <w:color w:val="0000FF"/>
            <w:kern w:val="0"/>
            <w:u w:val="single"/>
            <w14:ligatures w14:val="none"/>
          </w:rPr>
          <w:t>https://khn.org/news/article/national-academies-big-pharma-support-drug-waste-report/(Links to an external site.)</w:t>
        </w:r>
        <w:r w:rsidRPr="00DA265E">
          <w:rPr>
            <w:rFonts w:ascii="Lato" w:eastAsia="Times New Roman" w:hAnsi="Lato"/>
            <w:color w:val="0000FF"/>
            <w:kern w:val="0"/>
            <w:u w:val="single"/>
            <w:bdr w:val="none" w:sz="0" w:space="0" w:color="auto" w:frame="1"/>
            <w14:ligatures w14:val="none"/>
          </w:rPr>
          <w:t>Links to an external site.</w:t>
        </w:r>
      </w:hyperlink>
    </w:p>
    <w:p w14:paraId="23C27733"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u w:val="single"/>
          <w14:ligatures w14:val="none"/>
        </w:rPr>
        <w:t>Week 6- September 28: Alternative Medicine and the Role of the IRB</w:t>
      </w:r>
    </w:p>
    <w:p w14:paraId="7663AAAD"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b/>
          <w:bCs/>
          <w:color w:val="2D3B45"/>
          <w:kern w:val="0"/>
          <w14:ligatures w14:val="none"/>
        </w:rPr>
        <w:lastRenderedPageBreak/>
        <w:t>TOPICS</w:t>
      </w:r>
      <w:r w:rsidRPr="00DA265E">
        <w:rPr>
          <w:rFonts w:ascii="Lato" w:eastAsia="Times New Roman" w:hAnsi="Lato"/>
          <w:color w:val="2D3B45"/>
          <w:kern w:val="0"/>
          <w14:ligatures w14:val="none"/>
        </w:rPr>
        <w:t>: Conflict of interest, collaboration, peer review, data ownership, responsible authorship and publication, mentor/mentee relationship, research misconduct, the scientist in society</w:t>
      </w:r>
    </w:p>
    <w:p w14:paraId="6897B62A"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i/>
          <w:iCs/>
          <w:color w:val="2D3B45"/>
          <w:kern w:val="0"/>
          <w14:ligatures w14:val="none"/>
        </w:rPr>
        <w:t>Introduction – Colin Halverson</w:t>
      </w:r>
    </w:p>
    <w:p w14:paraId="1F346B1C" w14:textId="77777777" w:rsidR="00DA265E" w:rsidRPr="00DA265E" w:rsidRDefault="00DA265E" w:rsidP="00DA265E">
      <w:pPr>
        <w:numPr>
          <w:ilvl w:val="0"/>
          <w:numId w:val="31"/>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Researching Complementary and Alternative Medicine – Jennifer Stone</w:t>
      </w:r>
    </w:p>
    <w:p w14:paraId="38FDE2B2" w14:textId="77777777" w:rsidR="00DA265E" w:rsidRPr="00DA265E" w:rsidRDefault="00DA265E" w:rsidP="00DA265E">
      <w:pPr>
        <w:numPr>
          <w:ilvl w:val="0"/>
          <w:numId w:val="31"/>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Role of the IRB – Brian Stage</w:t>
      </w:r>
    </w:p>
    <w:p w14:paraId="7EEE921D"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b/>
          <w:bCs/>
          <w:color w:val="2D3B45"/>
          <w:kern w:val="0"/>
          <w14:ligatures w14:val="none"/>
        </w:rPr>
        <w:t>REQUIRED READINGS</w:t>
      </w:r>
      <w:r w:rsidRPr="00DA265E">
        <w:rPr>
          <w:rFonts w:ascii="Lato" w:eastAsia="Times New Roman" w:hAnsi="Lato"/>
          <w:color w:val="2D3B45"/>
          <w:kern w:val="0"/>
          <w14:ligatures w14:val="none"/>
        </w:rPr>
        <w:t>:</w:t>
      </w:r>
    </w:p>
    <w:p w14:paraId="21685F5E" w14:textId="77777777" w:rsidR="00DA265E" w:rsidRPr="00DA265E" w:rsidRDefault="00DA265E" w:rsidP="00DA265E">
      <w:pPr>
        <w:numPr>
          <w:ilvl w:val="0"/>
          <w:numId w:val="32"/>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COMPLEMENTARY MEDICINE</w:t>
      </w:r>
    </w:p>
    <w:p w14:paraId="3C1F6427" w14:textId="77777777" w:rsidR="00DA265E" w:rsidRPr="00DA265E" w:rsidRDefault="00DA265E" w:rsidP="00DA265E">
      <w:pPr>
        <w:numPr>
          <w:ilvl w:val="2"/>
          <w:numId w:val="33"/>
        </w:numPr>
        <w:spacing w:beforeAutospacing="1" w:afterAutospacing="1"/>
        <w:ind w:left="3285"/>
        <w:rPr>
          <w:rFonts w:ascii="Lato" w:eastAsia="Times New Roman" w:hAnsi="Lato"/>
          <w:color w:val="2D3B45"/>
          <w:kern w:val="0"/>
          <w14:ligatures w14:val="none"/>
        </w:rPr>
      </w:pPr>
      <w:r w:rsidRPr="00DA265E">
        <w:rPr>
          <w:rFonts w:ascii="Lato" w:eastAsia="Times New Roman" w:hAnsi="Lato"/>
          <w:color w:val="2D3B45"/>
          <w:kern w:val="0"/>
          <w14:ligatures w14:val="none"/>
        </w:rPr>
        <w:t>Read the abstract: </w:t>
      </w:r>
      <w:hyperlink r:id="rId23" w:tgtFrame="_blank" w:history="1">
        <w:r w:rsidRPr="00DA265E">
          <w:rPr>
            <w:rFonts w:ascii="Lato" w:eastAsia="Times New Roman" w:hAnsi="Lato"/>
            <w:color w:val="0000FF"/>
            <w:kern w:val="0"/>
            <w:u w:val="single"/>
            <w14:ligatures w14:val="none"/>
          </w:rPr>
          <w:t>Integrative Medicine for Pain Management in Oncology: Society for Integrative Oncology–ASCO Guideline</w:t>
        </w:r>
        <w:r w:rsidRPr="00DA265E">
          <w:rPr>
            <w:rFonts w:ascii="Lato" w:eastAsia="Times New Roman" w:hAnsi="Lato"/>
            <w:color w:val="0000FF"/>
            <w:kern w:val="0"/>
            <w:u w:val="single"/>
            <w:bdr w:val="none" w:sz="0" w:space="0" w:color="auto" w:frame="1"/>
            <w14:ligatures w14:val="none"/>
          </w:rPr>
          <w:t>Links to an external site.</w:t>
        </w:r>
      </w:hyperlink>
    </w:p>
    <w:p w14:paraId="1B51FF31" w14:textId="77777777" w:rsidR="00DA265E" w:rsidRPr="00DA265E" w:rsidRDefault="00DA265E" w:rsidP="00DA265E">
      <w:pPr>
        <w:numPr>
          <w:ilvl w:val="2"/>
          <w:numId w:val="33"/>
        </w:numPr>
        <w:spacing w:beforeAutospacing="1" w:afterAutospacing="1"/>
        <w:ind w:left="3285"/>
        <w:rPr>
          <w:rFonts w:ascii="Lato" w:eastAsia="Times New Roman" w:hAnsi="Lato"/>
          <w:color w:val="2D3B45"/>
          <w:kern w:val="0"/>
          <w14:ligatures w14:val="none"/>
        </w:rPr>
      </w:pPr>
      <w:hyperlink r:id="rId24" w:tgtFrame="_blank" w:history="1">
        <w:r w:rsidRPr="00DA265E">
          <w:rPr>
            <w:rFonts w:ascii="Lato" w:eastAsia="Times New Roman" w:hAnsi="Lato"/>
            <w:color w:val="0000FF"/>
            <w:kern w:val="0"/>
            <w:u w:val="single"/>
            <w14:ligatures w14:val="none"/>
          </w:rPr>
          <w:t>Covid-19: Vaccines journal retracts controversial paper after editorial board members quit</w:t>
        </w:r>
        <w:r w:rsidRPr="00DA265E">
          <w:rPr>
            <w:rFonts w:ascii="Lato" w:eastAsia="Times New Roman" w:hAnsi="Lato"/>
            <w:color w:val="0000FF"/>
            <w:kern w:val="0"/>
            <w:u w:val="single"/>
            <w:bdr w:val="none" w:sz="0" w:space="0" w:color="auto" w:frame="1"/>
            <w14:ligatures w14:val="none"/>
          </w:rPr>
          <w:t>Links to an external site.</w:t>
        </w:r>
      </w:hyperlink>
    </w:p>
    <w:p w14:paraId="33B7B82B" w14:textId="77777777" w:rsidR="00DA265E" w:rsidRPr="00DA265E" w:rsidRDefault="00DA265E" w:rsidP="00DA265E">
      <w:pPr>
        <w:numPr>
          <w:ilvl w:val="2"/>
          <w:numId w:val="33"/>
        </w:numPr>
        <w:spacing w:beforeAutospacing="1" w:afterAutospacing="1"/>
        <w:ind w:left="3285"/>
        <w:rPr>
          <w:rFonts w:ascii="Lato" w:eastAsia="Times New Roman" w:hAnsi="Lato"/>
          <w:color w:val="2D3B45"/>
          <w:kern w:val="0"/>
          <w14:ligatures w14:val="none"/>
        </w:rPr>
      </w:pPr>
      <w:hyperlink r:id="rId25" w:tgtFrame="_blank" w:history="1">
        <w:r w:rsidRPr="00DA265E">
          <w:rPr>
            <w:rFonts w:ascii="Lato" w:eastAsia="Times New Roman" w:hAnsi="Lato"/>
            <w:color w:val="0000FF"/>
            <w:kern w:val="0"/>
            <w:u w:val="single"/>
            <w14:ligatures w14:val="none"/>
          </w:rPr>
          <w:t>Why do people believe medical misinformation?</w:t>
        </w:r>
        <w:r w:rsidRPr="00DA265E">
          <w:rPr>
            <w:rFonts w:ascii="Lato" w:eastAsia="Times New Roman" w:hAnsi="Lato"/>
            <w:color w:val="0000FF"/>
            <w:kern w:val="0"/>
            <w:u w:val="single"/>
            <w:bdr w:val="none" w:sz="0" w:space="0" w:color="auto" w:frame="1"/>
            <w14:ligatures w14:val="none"/>
          </w:rPr>
          <w:t>Links to an external site.</w:t>
        </w:r>
      </w:hyperlink>
    </w:p>
    <w:p w14:paraId="2A211A65" w14:textId="77777777" w:rsidR="00DA265E" w:rsidRPr="00DA265E" w:rsidRDefault="00DA265E" w:rsidP="00DA265E">
      <w:pPr>
        <w:numPr>
          <w:ilvl w:val="0"/>
          <w:numId w:val="34"/>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ROLE OF THE IRB</w:t>
      </w:r>
    </w:p>
    <w:p w14:paraId="52FE6730" w14:textId="77777777" w:rsidR="00DA265E" w:rsidRPr="00DA265E" w:rsidRDefault="00DA265E" w:rsidP="00DA265E">
      <w:pPr>
        <w:numPr>
          <w:ilvl w:val="1"/>
          <w:numId w:val="34"/>
        </w:numPr>
        <w:spacing w:beforeAutospacing="1"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Review the </w:t>
      </w:r>
      <w:hyperlink r:id="rId26" w:tgtFrame="_blank" w:history="1">
        <w:r w:rsidRPr="00DA265E">
          <w:rPr>
            <w:rFonts w:ascii="Lato" w:eastAsia="Times New Roman" w:hAnsi="Lato"/>
            <w:color w:val="0000FF"/>
            <w:kern w:val="0"/>
            <w:u w:val="single"/>
            <w14:ligatures w14:val="none"/>
          </w:rPr>
          <w:t>Common Rule(Links to an external site.)</w:t>
        </w:r>
        <w:r w:rsidRPr="00DA265E">
          <w:rPr>
            <w:rFonts w:ascii="Lato" w:eastAsia="Times New Roman" w:hAnsi="Lato"/>
            <w:color w:val="0000FF"/>
            <w:kern w:val="0"/>
            <w:u w:val="single"/>
            <w:bdr w:val="none" w:sz="0" w:space="0" w:color="auto" w:frame="1"/>
            <w14:ligatures w14:val="none"/>
          </w:rPr>
          <w:t>Links to an external site.</w:t>
        </w:r>
      </w:hyperlink>
    </w:p>
    <w:p w14:paraId="04C975C2" w14:textId="77777777" w:rsidR="00DA265E" w:rsidRPr="00DA265E" w:rsidRDefault="00DA265E" w:rsidP="00DA265E">
      <w:pPr>
        <w:numPr>
          <w:ilvl w:val="1"/>
          <w:numId w:val="34"/>
        </w:numPr>
        <w:spacing w:beforeAutospacing="1"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Review the </w:t>
      </w:r>
      <w:hyperlink r:id="rId27" w:tgtFrame="_blank" w:history="1">
        <w:r w:rsidRPr="00DA265E">
          <w:rPr>
            <w:rFonts w:ascii="Lato" w:eastAsia="Times New Roman" w:hAnsi="Lato"/>
            <w:color w:val="0000FF"/>
            <w:kern w:val="0"/>
            <w:u w:val="single"/>
            <w14:ligatures w14:val="none"/>
          </w:rPr>
          <w:t>Belmont Report(Links to an external site.)</w:t>
        </w:r>
        <w:r w:rsidRPr="00DA265E">
          <w:rPr>
            <w:rFonts w:ascii="Lato" w:eastAsia="Times New Roman" w:hAnsi="Lato"/>
            <w:color w:val="0000FF"/>
            <w:kern w:val="0"/>
            <w:u w:val="single"/>
            <w:bdr w:val="none" w:sz="0" w:space="0" w:color="auto" w:frame="1"/>
            <w14:ligatures w14:val="none"/>
          </w:rPr>
          <w:t>Links to an external site.</w:t>
        </w:r>
      </w:hyperlink>
    </w:p>
    <w:p w14:paraId="3FB7345F"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b/>
          <w:bCs/>
          <w:color w:val="2D3B45"/>
          <w:kern w:val="0"/>
          <w14:ligatures w14:val="none"/>
        </w:rPr>
        <w:t>OPTIONAL READINGS</w:t>
      </w:r>
      <w:r w:rsidRPr="00DA265E">
        <w:rPr>
          <w:rFonts w:ascii="Lato" w:eastAsia="Times New Roman" w:hAnsi="Lato"/>
          <w:color w:val="2D3B45"/>
          <w:kern w:val="0"/>
          <w14:ligatures w14:val="none"/>
        </w:rPr>
        <w:t>:</w:t>
      </w:r>
    </w:p>
    <w:p w14:paraId="7260F062" w14:textId="77777777" w:rsidR="00DA265E" w:rsidRPr="00DA265E" w:rsidRDefault="00DA265E" w:rsidP="00DA265E">
      <w:pPr>
        <w:numPr>
          <w:ilvl w:val="0"/>
          <w:numId w:val="35"/>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COMPLEMENTARY MEDICINE</w:t>
      </w:r>
    </w:p>
    <w:p w14:paraId="0BF2D192" w14:textId="77777777" w:rsidR="00DA265E" w:rsidRPr="00DA265E" w:rsidRDefault="00DA265E" w:rsidP="00DA265E">
      <w:pPr>
        <w:numPr>
          <w:ilvl w:val="1"/>
          <w:numId w:val="35"/>
        </w:numPr>
        <w:spacing w:beforeAutospacing="1" w:afterAutospacing="1"/>
        <w:ind w:left="2190"/>
        <w:rPr>
          <w:rFonts w:ascii="Lato" w:eastAsia="Times New Roman" w:hAnsi="Lato"/>
          <w:color w:val="2D3B45"/>
          <w:kern w:val="0"/>
          <w14:ligatures w14:val="none"/>
        </w:rPr>
      </w:pPr>
      <w:hyperlink r:id="rId28" w:tgtFrame="_blank" w:history="1">
        <w:r w:rsidRPr="00DA265E">
          <w:rPr>
            <w:rFonts w:ascii="Lato" w:eastAsia="Times New Roman" w:hAnsi="Lato"/>
            <w:color w:val="0000FF"/>
            <w:kern w:val="0"/>
            <w:u w:val="single"/>
            <w14:ligatures w14:val="none"/>
          </w:rPr>
          <w:t>Integrative Medicine for Pain Management in Oncology: Society for Integrative Oncology–ASCO Guideline</w:t>
        </w:r>
        <w:r w:rsidRPr="00DA265E">
          <w:rPr>
            <w:rFonts w:ascii="Lato" w:eastAsia="Times New Roman" w:hAnsi="Lato"/>
            <w:color w:val="0000FF"/>
            <w:kern w:val="0"/>
            <w:u w:val="single"/>
            <w:bdr w:val="none" w:sz="0" w:space="0" w:color="auto" w:frame="1"/>
            <w14:ligatures w14:val="none"/>
          </w:rPr>
          <w:t>Links to an external site.</w:t>
        </w:r>
      </w:hyperlink>
    </w:p>
    <w:p w14:paraId="7D5E8C27" w14:textId="77777777" w:rsidR="00DA265E" w:rsidRPr="00DA265E" w:rsidRDefault="00DA265E" w:rsidP="00DA265E">
      <w:pPr>
        <w:numPr>
          <w:ilvl w:val="0"/>
          <w:numId w:val="35"/>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Torke AM, Alexander GC, Lantos J, Siegler M. The physician-surrogate relationship. Arch Intern Med. 2007 Jun 11;167(11):1117-21. doi: 10.1001/archinte.167.11.1117. PMID: 17563018.ROLE OF THE IRB</w:t>
      </w:r>
    </w:p>
    <w:p w14:paraId="2F33A443" w14:textId="77777777" w:rsidR="00DA265E" w:rsidRPr="00DA265E" w:rsidRDefault="00DA265E" w:rsidP="00DA265E">
      <w:pPr>
        <w:numPr>
          <w:ilvl w:val="0"/>
          <w:numId w:val="36"/>
        </w:numPr>
        <w:spacing w:beforeAutospacing="1" w:afterAutospacing="1"/>
        <w:ind w:left="1095"/>
        <w:rPr>
          <w:rFonts w:ascii="Lato" w:eastAsia="Times New Roman" w:hAnsi="Lato"/>
          <w:color w:val="2D3B45"/>
          <w:kern w:val="0"/>
          <w14:ligatures w14:val="none"/>
        </w:rPr>
      </w:pPr>
      <w:hyperlink r:id="rId29" w:tgtFrame="_blank" w:history="1">
        <w:r w:rsidRPr="00DA265E">
          <w:rPr>
            <w:rFonts w:ascii="Lato" w:eastAsia="Times New Roman" w:hAnsi="Lato"/>
            <w:color w:val="0000FF"/>
            <w:kern w:val="0"/>
            <w:u w:val="single"/>
            <w14:ligatures w14:val="none"/>
          </w:rPr>
          <w:t>FDA’s version of the Common Rule(Links to an external site.)</w:t>
        </w:r>
        <w:r w:rsidRPr="00DA265E">
          <w:rPr>
            <w:rFonts w:ascii="Lato" w:eastAsia="Times New Roman" w:hAnsi="Lato"/>
            <w:color w:val="0000FF"/>
            <w:kern w:val="0"/>
            <w:u w:val="single"/>
            <w:bdr w:val="none" w:sz="0" w:space="0" w:color="auto" w:frame="1"/>
            <w14:ligatures w14:val="none"/>
          </w:rPr>
          <w:t>Links to an external site.</w:t>
        </w:r>
      </w:hyperlink>
    </w:p>
    <w:p w14:paraId="6B316DFC" w14:textId="77777777" w:rsidR="00DA265E" w:rsidRPr="00DA265E" w:rsidRDefault="00DA265E" w:rsidP="00DA265E">
      <w:pPr>
        <w:numPr>
          <w:ilvl w:val="0"/>
          <w:numId w:val="36"/>
        </w:numPr>
        <w:spacing w:beforeAutospacing="1" w:afterAutospacing="1"/>
        <w:ind w:left="1095"/>
        <w:rPr>
          <w:rFonts w:ascii="Lato" w:eastAsia="Times New Roman" w:hAnsi="Lato"/>
          <w:color w:val="2D3B45"/>
          <w:kern w:val="0"/>
          <w14:ligatures w14:val="none"/>
        </w:rPr>
      </w:pPr>
      <w:hyperlink r:id="rId30" w:tgtFrame="_blank" w:history="1">
        <w:r w:rsidRPr="00DA265E">
          <w:rPr>
            <w:rFonts w:ascii="Lato" w:eastAsia="Times New Roman" w:hAnsi="Lato"/>
            <w:color w:val="0000FF"/>
            <w:kern w:val="0"/>
            <w:u w:val="single"/>
            <w14:ligatures w14:val="none"/>
          </w:rPr>
          <w:t>IU policies(Links to an external site.)</w:t>
        </w:r>
        <w:r w:rsidRPr="00DA265E">
          <w:rPr>
            <w:rFonts w:ascii="Lato" w:eastAsia="Times New Roman" w:hAnsi="Lato"/>
            <w:color w:val="0000FF"/>
            <w:kern w:val="0"/>
            <w:u w:val="single"/>
            <w:bdr w:val="none" w:sz="0" w:space="0" w:color="auto" w:frame="1"/>
            <w14:ligatures w14:val="none"/>
          </w:rPr>
          <w:t>Links to an external site.</w:t>
        </w:r>
      </w:hyperlink>
      <w:r w:rsidRPr="00DA265E">
        <w:rPr>
          <w:rFonts w:ascii="Lato" w:eastAsia="Times New Roman" w:hAnsi="Lato"/>
          <w:color w:val="2D3B45"/>
          <w:kern w:val="0"/>
          <w14:ligatures w14:val="none"/>
        </w:rPr>
        <w:t> (IRB review, informed consent, exempt research, recruitment, reportable events, adult individuals lacking consent capacity, children, pregnant women, prisoners, and students and use of education records)</w:t>
      </w:r>
    </w:p>
    <w:p w14:paraId="62555FF8"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u w:val="single"/>
          <w14:ligatures w14:val="none"/>
        </w:rPr>
        <w:t>Week 7- October 5: Children and Community Engagement</w:t>
      </w:r>
    </w:p>
    <w:p w14:paraId="004F9DDD"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b/>
          <w:bCs/>
          <w:color w:val="2D3B45"/>
          <w:kern w:val="0"/>
          <w14:ligatures w14:val="none"/>
        </w:rPr>
        <w:lastRenderedPageBreak/>
        <w:t>*TAKE-HOME MIDTERM EXAMINATION POSTED*</w:t>
      </w:r>
    </w:p>
    <w:p w14:paraId="0967E8ED"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 </w:t>
      </w:r>
    </w:p>
    <w:p w14:paraId="725F8411"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TOPICS: Human subjects, the scientist in society, contemporary ethical issues, environmental/societal impacts, vulnerable populations, consent and assent</w:t>
      </w:r>
    </w:p>
    <w:p w14:paraId="555A82B1"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i/>
          <w:iCs/>
          <w:color w:val="2D3B45"/>
          <w:kern w:val="0"/>
          <w14:ligatures w14:val="none"/>
        </w:rPr>
        <w:t>Introduction – Colin Halverson</w:t>
      </w:r>
    </w:p>
    <w:p w14:paraId="0C549AE4" w14:textId="77777777" w:rsidR="00DA265E" w:rsidRPr="00DA265E" w:rsidRDefault="00DA265E" w:rsidP="00DA265E">
      <w:pPr>
        <w:numPr>
          <w:ilvl w:val="0"/>
          <w:numId w:val="37"/>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Children and adolescents in research – Mary Ott</w:t>
      </w:r>
    </w:p>
    <w:p w14:paraId="24C6E775" w14:textId="77777777" w:rsidR="00DA265E" w:rsidRPr="00DA265E" w:rsidRDefault="00DA265E" w:rsidP="00DA265E">
      <w:pPr>
        <w:numPr>
          <w:ilvl w:val="0"/>
          <w:numId w:val="37"/>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Community-engaged research – Mary Ott</w:t>
      </w:r>
    </w:p>
    <w:p w14:paraId="7DAA4A0B"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b/>
          <w:bCs/>
          <w:color w:val="2D3B45"/>
          <w:kern w:val="0"/>
          <w14:ligatures w14:val="none"/>
        </w:rPr>
        <w:t>REQUIRED READINGS:</w:t>
      </w:r>
    </w:p>
    <w:p w14:paraId="08E78056" w14:textId="77777777" w:rsidR="00DA265E" w:rsidRPr="00DA265E" w:rsidRDefault="00DA265E" w:rsidP="00DA265E">
      <w:pPr>
        <w:numPr>
          <w:ilvl w:val="0"/>
          <w:numId w:val="38"/>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CHILDREN </w:t>
      </w:r>
    </w:p>
    <w:p w14:paraId="34330BC8" w14:textId="0E4296BD" w:rsidR="00DA265E" w:rsidRPr="00DA265E" w:rsidRDefault="00DA265E" w:rsidP="00DA265E">
      <w:pPr>
        <w:numPr>
          <w:ilvl w:val="1"/>
          <w:numId w:val="38"/>
        </w:numPr>
        <w:spacing w:beforeAutospacing="1"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Nuffield Council on Bioethics.  Be a Part of It: What Young People Think of Clinical Research: </w:t>
      </w:r>
      <w:hyperlink r:id="rId31" w:tgtFrame="_blank" w:history="1">
        <w:r w:rsidRPr="00DA265E">
          <w:rPr>
            <w:rFonts w:ascii="Lato" w:eastAsia="Times New Roman" w:hAnsi="Lato"/>
            <w:color w:val="0000FF"/>
            <w:kern w:val="0"/>
            <w:u w:val="single"/>
            <w14:ligatures w14:val="none"/>
          </w:rPr>
          <w:t>https://www.youtube.com/watch?v=e2k6eA0dn9Q(Links to an external site.)</w:t>
        </w:r>
        <w:r w:rsidRPr="00DA265E">
          <w:rPr>
            <w:rFonts w:ascii="Lato" w:eastAsia="Times New Roman" w:hAnsi="Lato"/>
            <w:color w:val="0000FF"/>
            <w:kern w:val="0"/>
            <w:u w:val="single"/>
            <w:bdr w:val="none" w:sz="0" w:space="0" w:color="auto" w:frame="1"/>
            <w14:ligatures w14:val="none"/>
          </w:rPr>
          <w:t>Links to an external site.</w:t>
        </w:r>
      </w:hyperlink>
      <w:r w:rsidRPr="00DA265E">
        <w:rPr>
          <w:rFonts w:ascii="Lato" w:eastAsia="Times New Roman" w:hAnsi="Lato"/>
          <w:noProof/>
          <w:color w:val="0000FF"/>
          <w:kern w:val="0"/>
          <w14:ligatures w14:val="none"/>
        </w:rPr>
        <w:drawing>
          <wp:inline distT="0" distB="0" distL="0" distR="0" wp14:anchorId="246BD135" wp14:editId="5B094901">
            <wp:extent cx="1776730" cy="1268095"/>
            <wp:effectExtent l="0" t="0" r="0" b="0"/>
            <wp:docPr id="1251305635" name="Picture 3" descr="A black and grey play button&#10;&#10;Description automatically generated">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305635" name="Picture 3" descr="A black and grey play button&#10;&#10;Description automatically generated">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76730" cy="1268095"/>
                    </a:xfrm>
                    <a:prstGeom prst="rect">
                      <a:avLst/>
                    </a:prstGeom>
                    <a:noFill/>
                    <a:ln>
                      <a:noFill/>
                    </a:ln>
                  </pic:spPr>
                </pic:pic>
              </a:graphicData>
            </a:graphic>
          </wp:inline>
        </w:drawing>
      </w:r>
    </w:p>
    <w:p w14:paraId="2557B566" w14:textId="77777777" w:rsidR="00DA265E" w:rsidRPr="00DA265E" w:rsidRDefault="00DA265E" w:rsidP="00DA265E">
      <w:pPr>
        <w:numPr>
          <w:ilvl w:val="2"/>
          <w:numId w:val="38"/>
        </w:numPr>
        <w:spacing w:before="100" w:beforeAutospacing="1" w:after="100" w:afterAutospacing="1"/>
        <w:ind w:left="3285"/>
        <w:rPr>
          <w:rFonts w:ascii="Lato" w:eastAsia="Times New Roman" w:hAnsi="Lato"/>
          <w:color w:val="2D3B45"/>
          <w:kern w:val="0"/>
          <w14:ligatures w14:val="none"/>
        </w:rPr>
      </w:pPr>
      <w:r w:rsidRPr="00DA265E">
        <w:rPr>
          <w:rFonts w:ascii="Lato" w:eastAsia="Times New Roman" w:hAnsi="Lato"/>
          <w:color w:val="2D3B45"/>
          <w:kern w:val="0"/>
          <w14:ligatures w14:val="none"/>
        </w:rPr>
        <w:t>What 2-3 things did you learn from the kids’ perspectives?  What was important to kids?  Who did they think should make research decisions?</w:t>
      </w:r>
    </w:p>
    <w:p w14:paraId="30D6D74F" w14:textId="77777777" w:rsidR="00DA265E" w:rsidRPr="00DA265E" w:rsidRDefault="00DA265E" w:rsidP="00DA265E">
      <w:pPr>
        <w:numPr>
          <w:ilvl w:val="1"/>
          <w:numId w:val="38"/>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Hein IM, De Vries MC, Troost PW, Meynen G, Van Goudoever JB, Lindauer RJ. Informed consent instead of assent is appropriate in children from the age of twelve: Policy implications of new findings on children's competence to consent to clinical research. BMC Med Ethics. 2015;16(1):76.</w:t>
      </w:r>
    </w:p>
    <w:p w14:paraId="3D0EAF97" w14:textId="77777777" w:rsidR="00DA265E" w:rsidRPr="00DA265E" w:rsidRDefault="00DA265E" w:rsidP="00DA265E">
      <w:pPr>
        <w:numPr>
          <w:ilvl w:val="2"/>
          <w:numId w:val="38"/>
        </w:numPr>
        <w:spacing w:before="100" w:beforeAutospacing="1" w:after="100" w:afterAutospacing="1"/>
        <w:ind w:left="3285"/>
        <w:rPr>
          <w:rFonts w:ascii="Lato" w:eastAsia="Times New Roman" w:hAnsi="Lato"/>
          <w:color w:val="2D3B45"/>
          <w:kern w:val="0"/>
          <w14:ligatures w14:val="none"/>
        </w:rPr>
      </w:pPr>
      <w:r w:rsidRPr="00DA265E">
        <w:rPr>
          <w:rFonts w:ascii="Lato" w:eastAsia="Times New Roman" w:hAnsi="Lato"/>
          <w:color w:val="2D3B45"/>
          <w:kern w:val="0"/>
          <w14:ligatures w14:val="none"/>
        </w:rPr>
        <w:t>What are the implications of these data for our current approaches to consent? (Look at IU Research Policies on Research with Children)</w:t>
      </w:r>
    </w:p>
    <w:p w14:paraId="77730F0A" w14:textId="77777777" w:rsidR="00DA265E" w:rsidRPr="00DA265E" w:rsidRDefault="00DA265E" w:rsidP="00DA265E">
      <w:pPr>
        <w:numPr>
          <w:ilvl w:val="1"/>
          <w:numId w:val="38"/>
        </w:numPr>
        <w:spacing w:beforeAutospacing="1"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Sarah Jane Blakemore. TEDGlobal 2012 - The Mysterious Workings of the Adolescent Brain: </w:t>
      </w:r>
      <w:hyperlink r:id="rId33" w:tgtFrame="_blank" w:history="1">
        <w:r w:rsidRPr="00DA265E">
          <w:rPr>
            <w:rFonts w:ascii="Lato" w:eastAsia="Times New Roman" w:hAnsi="Lato"/>
            <w:color w:val="0000FF"/>
            <w:kern w:val="0"/>
            <w:u w:val="single"/>
            <w14:ligatures w14:val="none"/>
          </w:rPr>
          <w:t>https://www.ted.com/talks/sarah_jayne_blakemore_the_mysterious_workings_of_the_adolescent_brain?language=en (Links to an external site.)(Links to an external site.)</w:t>
        </w:r>
        <w:r w:rsidRPr="00DA265E">
          <w:rPr>
            <w:rFonts w:ascii="Lato" w:eastAsia="Times New Roman" w:hAnsi="Lato"/>
            <w:color w:val="0000FF"/>
            <w:kern w:val="0"/>
            <w:u w:val="single"/>
            <w:bdr w:val="none" w:sz="0" w:space="0" w:color="auto" w:frame="1"/>
            <w14:ligatures w14:val="none"/>
          </w:rPr>
          <w:t>Links to an external site.</w:t>
        </w:r>
      </w:hyperlink>
    </w:p>
    <w:p w14:paraId="1414F503" w14:textId="77777777" w:rsidR="00DA265E" w:rsidRPr="00DA265E" w:rsidRDefault="00DA265E" w:rsidP="00DA265E">
      <w:pPr>
        <w:numPr>
          <w:ilvl w:val="2"/>
          <w:numId w:val="38"/>
        </w:numPr>
        <w:spacing w:before="100" w:beforeAutospacing="1" w:after="100" w:afterAutospacing="1"/>
        <w:ind w:left="3285"/>
        <w:rPr>
          <w:rFonts w:ascii="Lato" w:eastAsia="Times New Roman" w:hAnsi="Lato"/>
          <w:color w:val="2D3B45"/>
          <w:kern w:val="0"/>
          <w14:ligatures w14:val="none"/>
        </w:rPr>
      </w:pPr>
      <w:r w:rsidRPr="00DA265E">
        <w:rPr>
          <w:rFonts w:ascii="Lato" w:eastAsia="Times New Roman" w:hAnsi="Lato"/>
          <w:color w:val="2D3B45"/>
          <w:kern w:val="0"/>
          <w14:ligatures w14:val="none"/>
        </w:rPr>
        <w:t>What are the implications of the social brain in adolescent capacity to consent to research?</w:t>
      </w:r>
    </w:p>
    <w:p w14:paraId="030829AB" w14:textId="5314CDDF" w:rsidR="00DA265E" w:rsidRPr="00DA265E" w:rsidRDefault="00DA265E" w:rsidP="00DA265E">
      <w:pPr>
        <w:numPr>
          <w:ilvl w:val="1"/>
          <w:numId w:val="38"/>
        </w:numPr>
        <w:spacing w:beforeAutospacing="1"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 xml:space="preserve">Child-centered Nuffield Council on Bioethics. Health research: making the right decision for me </w:t>
      </w:r>
      <w:r w:rsidRPr="00DA265E">
        <w:rPr>
          <w:rFonts w:ascii="Lato" w:eastAsia="Times New Roman" w:hAnsi="Lato"/>
          <w:color w:val="2D3B45"/>
          <w:kern w:val="0"/>
          <w14:ligatures w14:val="none"/>
        </w:rPr>
        <w:lastRenderedPageBreak/>
        <w:t>(</w:t>
      </w:r>
      <w:hyperlink r:id="rId34" w:tgtFrame="_blank" w:history="1">
        <w:r w:rsidRPr="00DA265E">
          <w:rPr>
            <w:rFonts w:ascii="Lato" w:eastAsia="Times New Roman" w:hAnsi="Lato"/>
            <w:color w:val="0000FF"/>
            <w:kern w:val="0"/>
            <w:u w:val="single"/>
            <w14:ligatures w14:val="none"/>
          </w:rPr>
          <w:t>https://youtu.be/6yaKwLG_vlE (Links to an external site.)(Links to an external site.)</w:t>
        </w:r>
        <w:r w:rsidRPr="00DA265E">
          <w:rPr>
            <w:rFonts w:ascii="Lato" w:eastAsia="Times New Roman" w:hAnsi="Lato"/>
            <w:color w:val="0000FF"/>
            <w:kern w:val="0"/>
            <w:u w:val="single"/>
            <w:bdr w:val="none" w:sz="0" w:space="0" w:color="auto" w:frame="1"/>
            <w14:ligatures w14:val="none"/>
          </w:rPr>
          <w:t>Links to an external site.</w:t>
        </w:r>
      </w:hyperlink>
      <w:r w:rsidRPr="00DA265E">
        <w:rPr>
          <w:rFonts w:ascii="Lato" w:eastAsia="Times New Roman" w:hAnsi="Lato"/>
          <w:noProof/>
          <w:color w:val="0000FF"/>
          <w:kern w:val="0"/>
          <w14:ligatures w14:val="none"/>
        </w:rPr>
        <w:drawing>
          <wp:inline distT="0" distB="0" distL="0" distR="0" wp14:anchorId="5745A9A1" wp14:editId="3B9B623F">
            <wp:extent cx="1776730" cy="1268095"/>
            <wp:effectExtent l="0" t="0" r="0" b="0"/>
            <wp:docPr id="1047323927" name="Picture 2" descr="A black and grey play button&#10;&#10;Description automatically generated">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323927" name="Picture 2" descr="A black and grey play button&#10;&#10;Description automatically generated">
                      <a:hlinkClick r:id="rId34"/>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76730" cy="1268095"/>
                    </a:xfrm>
                    <a:prstGeom prst="rect">
                      <a:avLst/>
                    </a:prstGeom>
                    <a:noFill/>
                    <a:ln>
                      <a:noFill/>
                    </a:ln>
                  </pic:spPr>
                </pic:pic>
              </a:graphicData>
            </a:graphic>
          </wp:inline>
        </w:drawing>
      </w:r>
    </w:p>
    <w:p w14:paraId="6B3333B9" w14:textId="77777777" w:rsidR="00DA265E" w:rsidRPr="00DA265E" w:rsidRDefault="00DA265E" w:rsidP="00DA265E">
      <w:pPr>
        <w:numPr>
          <w:ilvl w:val="2"/>
          <w:numId w:val="38"/>
        </w:numPr>
        <w:spacing w:before="100" w:beforeAutospacing="1" w:after="100" w:afterAutospacing="1"/>
        <w:ind w:left="3285"/>
        <w:rPr>
          <w:rFonts w:ascii="Lato" w:eastAsia="Times New Roman" w:hAnsi="Lato"/>
          <w:color w:val="2D3B45"/>
          <w:kern w:val="0"/>
          <w14:ligatures w14:val="none"/>
        </w:rPr>
      </w:pPr>
      <w:r w:rsidRPr="00DA265E">
        <w:rPr>
          <w:rFonts w:ascii="Lato" w:eastAsia="Times New Roman" w:hAnsi="Lato"/>
          <w:color w:val="2D3B45"/>
          <w:kern w:val="0"/>
          <w14:ligatures w14:val="none"/>
        </w:rPr>
        <w:t>For this video created for children, ask yourself what they emphasize and why.</w:t>
      </w:r>
    </w:p>
    <w:p w14:paraId="26543FAA" w14:textId="77777777" w:rsidR="00DA265E" w:rsidRPr="00DA265E" w:rsidRDefault="00DA265E" w:rsidP="00DA265E">
      <w:pPr>
        <w:numPr>
          <w:ilvl w:val="1"/>
          <w:numId w:val="38"/>
        </w:numPr>
        <w:spacing w:beforeAutospacing="1"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Shenk, et al. (2014). Enrollment of Adolescents Aged 16–17 Years Old in Microbicide Trials: An Evidence-Based Approach. </w:t>
      </w:r>
      <w:r w:rsidRPr="00DA265E">
        <w:rPr>
          <w:rFonts w:ascii="Lato" w:eastAsia="Times New Roman" w:hAnsi="Lato"/>
          <w:i/>
          <w:iCs/>
          <w:color w:val="2D3B45"/>
          <w:kern w:val="0"/>
          <w14:ligatures w14:val="none"/>
        </w:rPr>
        <w:t>Journal of Adolescent Health</w:t>
      </w:r>
      <w:r w:rsidRPr="00DA265E">
        <w:rPr>
          <w:rFonts w:ascii="Lato" w:eastAsia="Times New Roman" w:hAnsi="Lato"/>
          <w:color w:val="2D3B45"/>
          <w:kern w:val="0"/>
          <w14:ligatures w14:val="none"/>
        </w:rPr>
        <w:t>. 54(6), 654- </w:t>
      </w:r>
      <w:hyperlink r:id="rId35" w:tgtFrame="_blank" w:history="1">
        <w:r w:rsidRPr="00DA265E">
          <w:rPr>
            <w:rFonts w:ascii="Lato" w:eastAsia="Times New Roman" w:hAnsi="Lato"/>
            <w:color w:val="0000FF"/>
            <w:kern w:val="0"/>
            <w:u w:val="single"/>
            <w14:ligatures w14:val="none"/>
          </w:rPr>
          <w:t>https://reader.elsevier.com/reader/sd/pii/S1054139X14000597?token=E885CEFA75146D3FA2382D0C03BA4A75E3D4528887A1167E46908A1F1367069941B4083AE10534BD6E4324AF0ECFFF9A (Links to an external site.) (Links to an external site.)</w:t>
        </w:r>
        <w:r w:rsidRPr="00DA265E">
          <w:rPr>
            <w:rFonts w:ascii="Lato" w:eastAsia="Times New Roman" w:hAnsi="Lato"/>
            <w:color w:val="0000FF"/>
            <w:kern w:val="0"/>
            <w:u w:val="single"/>
            <w:bdr w:val="none" w:sz="0" w:space="0" w:color="auto" w:frame="1"/>
            <w14:ligatures w14:val="none"/>
          </w:rPr>
          <w:t>Links to an external site.</w:t>
        </w:r>
      </w:hyperlink>
    </w:p>
    <w:p w14:paraId="091B261E" w14:textId="77777777" w:rsidR="00DA265E" w:rsidRPr="00DA265E" w:rsidRDefault="00DA265E" w:rsidP="00DA265E">
      <w:pPr>
        <w:numPr>
          <w:ilvl w:val="1"/>
          <w:numId w:val="38"/>
        </w:numPr>
        <w:spacing w:beforeAutospacing="1"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Ott, Mary A. (2014). Vulnerability in HIV Prevention Research with Adolescents, Reconsidered. </w:t>
      </w:r>
      <w:r w:rsidRPr="00DA265E">
        <w:rPr>
          <w:rFonts w:ascii="Lato" w:eastAsia="Times New Roman" w:hAnsi="Lato"/>
          <w:i/>
          <w:iCs/>
          <w:color w:val="2D3B45"/>
          <w:kern w:val="0"/>
          <w14:ligatures w14:val="none"/>
        </w:rPr>
        <w:t>Journal of Adolescent Health</w:t>
      </w:r>
      <w:r w:rsidRPr="00DA265E">
        <w:rPr>
          <w:rFonts w:ascii="Lato" w:eastAsia="Times New Roman" w:hAnsi="Lato"/>
          <w:color w:val="2D3B45"/>
          <w:kern w:val="0"/>
          <w14:ligatures w14:val="none"/>
        </w:rPr>
        <w:t>. 54(6), 629-630 </w:t>
      </w:r>
      <w:hyperlink r:id="rId36" w:tgtFrame="_blank" w:history="1">
        <w:r w:rsidRPr="00DA265E">
          <w:rPr>
            <w:rFonts w:ascii="Lato" w:eastAsia="Times New Roman" w:hAnsi="Lato"/>
            <w:color w:val="0000FF"/>
            <w:kern w:val="0"/>
            <w:u w:val="single"/>
            <w14:ligatures w14:val="none"/>
          </w:rPr>
          <w:t>https://reader.elsevier.com/reader/sd/pii/S1054139X14001608?token=3F29F69B96D1D4445F210C09FB14C720193E42500C0A905D0F810B89AE388964AFE67AABF7C28D8C635DEF044E7B60D9 (Links to an external site.) (Links to an external site.)</w:t>
        </w:r>
        <w:r w:rsidRPr="00DA265E">
          <w:rPr>
            <w:rFonts w:ascii="Lato" w:eastAsia="Times New Roman" w:hAnsi="Lato"/>
            <w:color w:val="0000FF"/>
            <w:kern w:val="0"/>
            <w:u w:val="single"/>
            <w:bdr w:val="none" w:sz="0" w:space="0" w:color="auto" w:frame="1"/>
            <w14:ligatures w14:val="none"/>
          </w:rPr>
          <w:t>Links to an external site.</w:t>
        </w:r>
      </w:hyperlink>
    </w:p>
    <w:p w14:paraId="7191F9B4" w14:textId="77777777" w:rsidR="00DA265E" w:rsidRPr="00DA265E" w:rsidRDefault="00DA265E" w:rsidP="00DA265E">
      <w:pPr>
        <w:numPr>
          <w:ilvl w:val="2"/>
          <w:numId w:val="38"/>
        </w:numPr>
        <w:spacing w:before="100" w:beforeAutospacing="1" w:after="100" w:afterAutospacing="1"/>
        <w:ind w:left="3285"/>
        <w:rPr>
          <w:rFonts w:ascii="Lato" w:eastAsia="Times New Roman" w:hAnsi="Lato"/>
          <w:color w:val="2D3B45"/>
          <w:kern w:val="0"/>
          <w14:ligatures w14:val="none"/>
        </w:rPr>
      </w:pPr>
      <w:r w:rsidRPr="00DA265E">
        <w:rPr>
          <w:rFonts w:ascii="Lato" w:eastAsia="Times New Roman" w:hAnsi="Lato"/>
          <w:color w:val="2D3B45"/>
          <w:kern w:val="0"/>
          <w14:ligatures w14:val="none"/>
        </w:rPr>
        <w:t>In what ways were these youth vulnerable?  How did the researchers address this vulnerability?</w:t>
      </w:r>
    </w:p>
    <w:p w14:paraId="08256010" w14:textId="77777777" w:rsidR="00DA265E" w:rsidRPr="00DA265E" w:rsidRDefault="00DA265E" w:rsidP="00DA265E">
      <w:pPr>
        <w:numPr>
          <w:ilvl w:val="2"/>
          <w:numId w:val="38"/>
        </w:numPr>
        <w:spacing w:before="100" w:beforeAutospacing="1" w:after="100" w:afterAutospacing="1"/>
        <w:ind w:left="3285"/>
        <w:rPr>
          <w:rFonts w:ascii="Lato" w:eastAsia="Times New Roman" w:hAnsi="Lato"/>
          <w:color w:val="2D3B45"/>
          <w:kern w:val="0"/>
          <w14:ligatures w14:val="none"/>
        </w:rPr>
      </w:pPr>
      <w:r w:rsidRPr="00DA265E">
        <w:rPr>
          <w:rFonts w:ascii="Lato" w:eastAsia="Times New Roman" w:hAnsi="Lato"/>
          <w:color w:val="2D3B45"/>
          <w:kern w:val="0"/>
          <w14:ligatures w14:val="none"/>
        </w:rPr>
        <w:t>Should the IRBs have allowed adolescents to provide their own consent?  Or should a parent or ombudsman help with the consent process?  Please consider arguments for and against minor self-consent.</w:t>
      </w:r>
    </w:p>
    <w:p w14:paraId="1CE2E80F" w14:textId="77777777" w:rsidR="00DA265E" w:rsidRPr="00DA265E" w:rsidRDefault="00DA265E" w:rsidP="00DA265E">
      <w:pPr>
        <w:numPr>
          <w:ilvl w:val="1"/>
          <w:numId w:val="38"/>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COMMUNITY-ENGAGED RESEARCH</w:t>
      </w:r>
    </w:p>
    <w:p w14:paraId="47ED3B4D" w14:textId="78F65301" w:rsidR="00DA265E" w:rsidRPr="00DA265E" w:rsidRDefault="00DA265E" w:rsidP="00DA265E">
      <w:pPr>
        <w:numPr>
          <w:ilvl w:val="2"/>
          <w:numId w:val="38"/>
        </w:numPr>
        <w:spacing w:beforeAutospacing="1" w:afterAutospacing="1"/>
        <w:ind w:left="3285"/>
        <w:rPr>
          <w:rFonts w:ascii="Lato" w:eastAsia="Times New Roman" w:hAnsi="Lato"/>
          <w:color w:val="2D3B45"/>
          <w:kern w:val="0"/>
          <w14:ligatures w14:val="none"/>
        </w:rPr>
      </w:pPr>
      <w:r w:rsidRPr="00DA265E">
        <w:rPr>
          <w:rFonts w:ascii="Lato" w:eastAsia="Times New Roman" w:hAnsi="Lato"/>
          <w:color w:val="2D3B45"/>
          <w:kern w:val="0"/>
          <w14:ligatures w14:val="none"/>
        </w:rPr>
        <w:t>Nina Wallerstein.  CBPR – History, Principles and Definitions. </w:t>
      </w:r>
      <w:hyperlink r:id="rId37" w:tgtFrame="_blank" w:history="1">
        <w:r w:rsidRPr="00DA265E">
          <w:rPr>
            <w:rFonts w:ascii="Lato" w:eastAsia="Times New Roman" w:hAnsi="Lato"/>
            <w:color w:val="0000FF"/>
            <w:kern w:val="0"/>
            <w:u w:val="single"/>
            <w14:ligatures w14:val="none"/>
          </w:rPr>
          <w:t>https://www.youtube.com/watch?v=8EcCjmZLp94(Links to an external site.)</w:t>
        </w:r>
        <w:r w:rsidRPr="00DA265E">
          <w:rPr>
            <w:rFonts w:ascii="Lato" w:eastAsia="Times New Roman" w:hAnsi="Lato"/>
            <w:color w:val="0000FF"/>
            <w:kern w:val="0"/>
            <w:u w:val="single"/>
            <w:bdr w:val="none" w:sz="0" w:space="0" w:color="auto" w:frame="1"/>
            <w14:ligatures w14:val="none"/>
          </w:rPr>
          <w:t>Links to an external site.</w:t>
        </w:r>
      </w:hyperlink>
      <w:r w:rsidRPr="00DA265E">
        <w:rPr>
          <w:rFonts w:ascii="Lato" w:eastAsia="Times New Roman" w:hAnsi="Lato"/>
          <w:noProof/>
          <w:color w:val="0000FF"/>
          <w:kern w:val="0"/>
          <w14:ligatures w14:val="none"/>
        </w:rPr>
        <w:drawing>
          <wp:inline distT="0" distB="0" distL="0" distR="0" wp14:anchorId="26897B5A" wp14:editId="01176124">
            <wp:extent cx="1776730" cy="1268095"/>
            <wp:effectExtent l="0" t="0" r="0" b="0"/>
            <wp:docPr id="1161925204" name="Picture 1" descr="A black and grey play button&#10;&#10;Description automatically generated">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925204" name="Picture 1" descr="A black and grey play button&#10;&#10;Description automatically generated">
                      <a:hlinkClick r:id="rId37"/>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76730" cy="1268095"/>
                    </a:xfrm>
                    <a:prstGeom prst="rect">
                      <a:avLst/>
                    </a:prstGeom>
                    <a:noFill/>
                    <a:ln>
                      <a:noFill/>
                    </a:ln>
                  </pic:spPr>
                </pic:pic>
              </a:graphicData>
            </a:graphic>
          </wp:inline>
        </w:drawing>
      </w:r>
    </w:p>
    <w:p w14:paraId="7308C71F" w14:textId="77777777" w:rsidR="00DA265E" w:rsidRPr="00DA265E" w:rsidRDefault="00DA265E" w:rsidP="00DA265E">
      <w:pPr>
        <w:numPr>
          <w:ilvl w:val="2"/>
          <w:numId w:val="38"/>
        </w:numPr>
        <w:spacing w:before="100" w:beforeAutospacing="1" w:after="100" w:afterAutospacing="1"/>
        <w:ind w:left="3285"/>
        <w:rPr>
          <w:rFonts w:ascii="Lato" w:eastAsia="Times New Roman" w:hAnsi="Lato"/>
          <w:color w:val="2D3B45"/>
          <w:kern w:val="0"/>
          <w14:ligatures w14:val="none"/>
        </w:rPr>
      </w:pPr>
      <w:r w:rsidRPr="00DA265E">
        <w:rPr>
          <w:rFonts w:ascii="Lato" w:eastAsia="Times New Roman" w:hAnsi="Lato"/>
          <w:color w:val="2D3B45"/>
          <w:kern w:val="0"/>
          <w14:ligatures w14:val="none"/>
        </w:rPr>
        <w:t xml:space="preserve">American Academy of Pediatrics Committee on Native American Child Health; American Academy of Pediatrics </w:t>
      </w:r>
      <w:r w:rsidRPr="00DA265E">
        <w:rPr>
          <w:rFonts w:ascii="Lato" w:eastAsia="Times New Roman" w:hAnsi="Lato"/>
          <w:color w:val="2D3B45"/>
          <w:kern w:val="0"/>
          <w14:ligatures w14:val="none"/>
        </w:rPr>
        <w:lastRenderedPageBreak/>
        <w:t>Committee on Community Health Services. (2004) Ethical considerations in research with socially identifiable populations. Pediatrics 113(1 Pt 1):148-51. PubMed PMID: 14702468.</w:t>
      </w:r>
    </w:p>
    <w:p w14:paraId="32CBDB69" w14:textId="77777777" w:rsidR="00DA265E" w:rsidRPr="00DA265E" w:rsidRDefault="00DA265E" w:rsidP="00DA265E">
      <w:pPr>
        <w:numPr>
          <w:ilvl w:val="2"/>
          <w:numId w:val="38"/>
        </w:numPr>
        <w:spacing w:before="100" w:beforeAutospacing="1" w:after="100" w:afterAutospacing="1"/>
        <w:ind w:left="3285"/>
        <w:rPr>
          <w:rFonts w:ascii="Lato" w:eastAsia="Times New Roman" w:hAnsi="Lato"/>
          <w:color w:val="2D3B45"/>
          <w:kern w:val="0"/>
          <w14:ligatures w14:val="none"/>
        </w:rPr>
      </w:pPr>
      <w:r w:rsidRPr="00DA265E">
        <w:rPr>
          <w:rFonts w:ascii="Lato" w:eastAsia="Times New Roman" w:hAnsi="Lato"/>
          <w:color w:val="2D3B45"/>
          <w:kern w:val="0"/>
          <w14:ligatures w14:val="none"/>
        </w:rPr>
        <w:t>Making antenatal care youth-friendly: Starting from the Roots: Using Human Centered Design to Make an Adolescent Pregnancy Program Youth Friendly in Western Kenya.</w:t>
      </w:r>
    </w:p>
    <w:p w14:paraId="51AD1B3E" w14:textId="77777777" w:rsidR="00DA265E" w:rsidRPr="00DA265E" w:rsidRDefault="00DA265E" w:rsidP="00DA265E">
      <w:pPr>
        <w:numPr>
          <w:ilvl w:val="3"/>
          <w:numId w:val="38"/>
        </w:numPr>
        <w:spacing w:before="100" w:beforeAutospacing="1" w:after="100" w:afterAutospacing="1"/>
        <w:ind w:left="4380"/>
        <w:rPr>
          <w:rFonts w:ascii="Lato" w:eastAsia="Times New Roman" w:hAnsi="Lato"/>
          <w:color w:val="2D3B45"/>
          <w:kern w:val="0"/>
          <w14:ligatures w14:val="none"/>
        </w:rPr>
      </w:pPr>
      <w:r w:rsidRPr="00DA265E">
        <w:rPr>
          <w:rFonts w:ascii="Lato" w:eastAsia="Times New Roman" w:hAnsi="Lato"/>
          <w:color w:val="2D3B45"/>
          <w:kern w:val="0"/>
          <w14:ligatures w14:val="none"/>
        </w:rPr>
        <w:t>Who is the community?</w:t>
      </w:r>
    </w:p>
    <w:p w14:paraId="78FAFA07" w14:textId="77777777" w:rsidR="00DA265E" w:rsidRPr="00DA265E" w:rsidRDefault="00DA265E" w:rsidP="00DA265E">
      <w:pPr>
        <w:numPr>
          <w:ilvl w:val="3"/>
          <w:numId w:val="38"/>
        </w:numPr>
        <w:spacing w:before="100" w:beforeAutospacing="1" w:after="100" w:afterAutospacing="1"/>
        <w:ind w:left="4380"/>
        <w:rPr>
          <w:rFonts w:ascii="Lato" w:eastAsia="Times New Roman" w:hAnsi="Lato"/>
          <w:color w:val="2D3B45"/>
          <w:kern w:val="0"/>
          <w14:ligatures w14:val="none"/>
        </w:rPr>
      </w:pPr>
      <w:r w:rsidRPr="00DA265E">
        <w:rPr>
          <w:rFonts w:ascii="Lato" w:eastAsia="Times New Roman" w:hAnsi="Lato"/>
          <w:color w:val="2D3B45"/>
          <w:kern w:val="0"/>
          <w14:ligatures w14:val="none"/>
        </w:rPr>
        <w:t>What are the benefits of this approach? The potential harms?</w:t>
      </w:r>
    </w:p>
    <w:p w14:paraId="4F56DCF2" w14:textId="77777777" w:rsidR="00DA265E" w:rsidRPr="00DA265E" w:rsidRDefault="00DA265E" w:rsidP="00DA265E">
      <w:pPr>
        <w:numPr>
          <w:ilvl w:val="3"/>
          <w:numId w:val="38"/>
        </w:numPr>
        <w:spacing w:before="100" w:beforeAutospacing="1" w:after="100" w:afterAutospacing="1"/>
        <w:ind w:left="4380"/>
        <w:rPr>
          <w:rFonts w:ascii="Lato" w:eastAsia="Times New Roman" w:hAnsi="Lato"/>
          <w:color w:val="2D3B45"/>
          <w:kern w:val="0"/>
          <w14:ligatures w14:val="none"/>
        </w:rPr>
      </w:pPr>
      <w:r w:rsidRPr="00DA265E">
        <w:rPr>
          <w:rFonts w:ascii="Lato" w:eastAsia="Times New Roman" w:hAnsi="Lato"/>
          <w:color w:val="2D3B45"/>
          <w:kern w:val="0"/>
          <w14:ligatures w14:val="none"/>
        </w:rPr>
        <w:t>What best practices in community ethics do you see?</w:t>
      </w:r>
    </w:p>
    <w:p w14:paraId="52671A3D" w14:textId="77777777" w:rsidR="00DA265E" w:rsidRPr="00DA265E" w:rsidRDefault="00DA265E" w:rsidP="00DA265E">
      <w:pPr>
        <w:numPr>
          <w:ilvl w:val="3"/>
          <w:numId w:val="38"/>
        </w:numPr>
        <w:spacing w:before="100" w:beforeAutospacing="1" w:after="100" w:afterAutospacing="1"/>
        <w:ind w:left="4380"/>
        <w:rPr>
          <w:rFonts w:ascii="Lato" w:eastAsia="Times New Roman" w:hAnsi="Lato"/>
          <w:color w:val="2D3B45"/>
          <w:kern w:val="0"/>
          <w14:ligatures w14:val="none"/>
        </w:rPr>
      </w:pPr>
      <w:r w:rsidRPr="00DA265E">
        <w:rPr>
          <w:rFonts w:ascii="Lato" w:eastAsia="Times New Roman" w:hAnsi="Lato"/>
          <w:color w:val="2D3B45"/>
          <w:kern w:val="0"/>
          <w14:ligatures w14:val="none"/>
        </w:rPr>
        <w:t>What else could they do?</w:t>
      </w:r>
    </w:p>
    <w:p w14:paraId="58666655"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b/>
          <w:bCs/>
          <w:color w:val="2D3B45"/>
          <w:kern w:val="0"/>
          <w14:ligatures w14:val="none"/>
        </w:rPr>
        <w:t>OPTIONAL READINGS:</w:t>
      </w:r>
    </w:p>
    <w:p w14:paraId="6B70B25A" w14:textId="77777777" w:rsidR="00DA265E" w:rsidRPr="00DA265E" w:rsidRDefault="00DA265E" w:rsidP="00DA265E">
      <w:pPr>
        <w:numPr>
          <w:ilvl w:val="0"/>
          <w:numId w:val="39"/>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CHILDREN </w:t>
      </w:r>
    </w:p>
    <w:p w14:paraId="5D7720FA" w14:textId="77777777" w:rsidR="00DA265E" w:rsidRPr="00DA265E" w:rsidRDefault="00DA265E" w:rsidP="00DA265E">
      <w:pPr>
        <w:numPr>
          <w:ilvl w:val="1"/>
          <w:numId w:val="39"/>
        </w:numPr>
        <w:spacing w:beforeAutospacing="1"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IU IRB Policies on research with children: (</w:t>
      </w:r>
      <w:hyperlink r:id="rId38" w:tgtFrame="_blank" w:history="1">
        <w:r w:rsidRPr="00DA265E">
          <w:rPr>
            <w:rFonts w:ascii="Lato" w:eastAsia="Times New Roman" w:hAnsi="Lato"/>
            <w:color w:val="0000FF"/>
            <w:kern w:val="0"/>
            <w:u w:val="single"/>
            <w14:ligatures w14:val="none"/>
          </w:rPr>
          <w:t>https://research.iu.edu/policies/human-subjects-irb/children-in-research.html (Links to an external site.)(Links to an external site.)</w:t>
        </w:r>
        <w:r w:rsidRPr="00DA265E">
          <w:rPr>
            <w:rFonts w:ascii="Lato" w:eastAsia="Times New Roman" w:hAnsi="Lato"/>
            <w:color w:val="0000FF"/>
            <w:kern w:val="0"/>
            <w:u w:val="single"/>
            <w:bdr w:val="none" w:sz="0" w:space="0" w:color="auto" w:frame="1"/>
            <w14:ligatures w14:val="none"/>
          </w:rPr>
          <w:t>Links to an external site.</w:t>
        </w:r>
      </w:hyperlink>
      <w:r w:rsidRPr="00DA265E">
        <w:rPr>
          <w:rFonts w:ascii="Lato" w:eastAsia="Times New Roman" w:hAnsi="Lato"/>
          <w:color w:val="2D3B45"/>
          <w:kern w:val="0"/>
          <w14:ligatures w14:val="none"/>
        </w:rPr>
        <w:t>)</w:t>
      </w:r>
    </w:p>
    <w:p w14:paraId="3E390172" w14:textId="77777777" w:rsidR="00DA265E" w:rsidRPr="00DA265E" w:rsidRDefault="00DA265E" w:rsidP="00DA265E">
      <w:pPr>
        <w:numPr>
          <w:ilvl w:val="1"/>
          <w:numId w:val="39"/>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Santelli JS, Rogers A, Rosenfeld WD, DuRant RH, Dubler N, Morreale M, English A, Lyss S, Wimberly Y, Schissel A. (2003) Guidelines for adolescent health research: A position paper of the society for adolescent medicine.  J Adolesc Health 33:396-409. [Canvas Resources]</w:t>
      </w:r>
    </w:p>
    <w:p w14:paraId="2BF93819" w14:textId="77777777" w:rsidR="00DA265E" w:rsidRPr="00DA265E" w:rsidRDefault="00DA265E" w:rsidP="00DA265E">
      <w:pPr>
        <w:numPr>
          <w:ilvl w:val="1"/>
          <w:numId w:val="39"/>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Kipnis K. Seven vulnerabilities in the pediatric research subject. Theor Med Bioeth. 2003;24(2):107-20</w:t>
      </w:r>
    </w:p>
    <w:p w14:paraId="12E9EE14" w14:textId="77777777" w:rsidR="00DA265E" w:rsidRPr="00DA265E" w:rsidRDefault="00DA265E" w:rsidP="00DA265E">
      <w:pPr>
        <w:numPr>
          <w:ilvl w:val="0"/>
          <w:numId w:val="39"/>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COMMUNITY-ENGAGED RESEARCH</w:t>
      </w:r>
    </w:p>
    <w:p w14:paraId="335F2452" w14:textId="77777777" w:rsidR="00DA265E" w:rsidRPr="00DA265E" w:rsidRDefault="00DA265E" w:rsidP="00DA265E">
      <w:pPr>
        <w:numPr>
          <w:ilvl w:val="1"/>
          <w:numId w:val="39"/>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Yale CARE: Community Alliance for Research and Engagement. Principles and Guidelines for Community-University Research Partnerships.  </w:t>
      </w:r>
    </w:p>
    <w:p w14:paraId="64013A53" w14:textId="77777777" w:rsidR="00DA265E" w:rsidRPr="00DA265E" w:rsidRDefault="00DA265E" w:rsidP="00DA265E">
      <w:pPr>
        <w:numPr>
          <w:ilvl w:val="1"/>
          <w:numId w:val="39"/>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McClosky, et al. Chapter 1: Community Engagement: Definitions and Organizing Concepts from the Literature. Centers for Disease Control and Prevention.  Last updated 2011. </w:t>
      </w:r>
    </w:p>
    <w:p w14:paraId="1E276882"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b/>
          <w:bCs/>
          <w:color w:val="2D3B45"/>
          <w:kern w:val="0"/>
          <w14:ligatures w14:val="none"/>
        </w:rPr>
        <w:t>Unit 2 – Research with Protected Subjects</w:t>
      </w:r>
    </w:p>
    <w:p w14:paraId="68E0FB58"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u w:val="single"/>
          <w14:ligatures w14:val="none"/>
        </w:rPr>
        <w:t>Week 8- October 12: Return of Results, and Mock IRB</w:t>
      </w:r>
    </w:p>
    <w:p w14:paraId="1A17610C"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TOPICS: Human subjects, contemporary ethical issues, environmental/societal impacts, vulnerable populations, consent and assent, data management</w:t>
      </w:r>
    </w:p>
    <w:p w14:paraId="0DF2C96D"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i/>
          <w:iCs/>
          <w:color w:val="2D3B45"/>
          <w:kern w:val="0"/>
          <w14:ligatures w14:val="none"/>
        </w:rPr>
        <w:t>Introduction – Colin Halverson</w:t>
      </w:r>
    </w:p>
    <w:p w14:paraId="362619B0" w14:textId="77777777" w:rsidR="00DA265E" w:rsidRPr="00DA265E" w:rsidRDefault="00DA265E" w:rsidP="00DA265E">
      <w:pPr>
        <w:numPr>
          <w:ilvl w:val="0"/>
          <w:numId w:val="40"/>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lastRenderedPageBreak/>
        <w:t>Return of Results – Colin Halverson</w:t>
      </w:r>
    </w:p>
    <w:p w14:paraId="6EB44C87" w14:textId="77777777" w:rsidR="00DA265E" w:rsidRPr="00DA265E" w:rsidRDefault="00DA265E" w:rsidP="00DA265E">
      <w:pPr>
        <w:numPr>
          <w:ilvl w:val="0"/>
          <w:numId w:val="40"/>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Mock IRB – Brian Stage</w:t>
      </w:r>
    </w:p>
    <w:p w14:paraId="15E8BDD9"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b/>
          <w:bCs/>
          <w:color w:val="2D3B45"/>
          <w:kern w:val="0"/>
          <w14:ligatures w14:val="none"/>
        </w:rPr>
        <w:t>*TAKE-HOME MIDTERM SUBMISSION DUE*</w:t>
      </w:r>
    </w:p>
    <w:p w14:paraId="1CC7E967"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b/>
          <w:bCs/>
          <w:color w:val="2D3B45"/>
          <w:kern w:val="0"/>
          <w14:ligatures w14:val="none"/>
        </w:rPr>
        <w:t>REQUIRED READINGS</w:t>
      </w:r>
      <w:r w:rsidRPr="00DA265E">
        <w:rPr>
          <w:rFonts w:ascii="Lato" w:eastAsia="Times New Roman" w:hAnsi="Lato"/>
          <w:color w:val="2D3B45"/>
          <w:kern w:val="0"/>
          <w14:ligatures w14:val="none"/>
        </w:rPr>
        <w:t>:</w:t>
      </w:r>
    </w:p>
    <w:p w14:paraId="3C51D768" w14:textId="77777777" w:rsidR="00DA265E" w:rsidRPr="00DA265E" w:rsidRDefault="00DA265E" w:rsidP="00DA265E">
      <w:pPr>
        <w:numPr>
          <w:ilvl w:val="0"/>
          <w:numId w:val="41"/>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RETURN OF RESULTS</w:t>
      </w:r>
    </w:p>
    <w:p w14:paraId="2AC17318" w14:textId="77777777" w:rsidR="00DA265E" w:rsidRPr="00DA265E" w:rsidRDefault="00DA265E" w:rsidP="00DA265E">
      <w:pPr>
        <w:numPr>
          <w:ilvl w:val="1"/>
          <w:numId w:val="41"/>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[None]</w:t>
      </w:r>
    </w:p>
    <w:p w14:paraId="5A69300A" w14:textId="77777777" w:rsidR="00DA265E" w:rsidRPr="00DA265E" w:rsidRDefault="00DA265E" w:rsidP="00DA265E">
      <w:pPr>
        <w:numPr>
          <w:ilvl w:val="0"/>
          <w:numId w:val="41"/>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MOCK IRB</w:t>
      </w:r>
    </w:p>
    <w:p w14:paraId="1064E50C" w14:textId="77777777" w:rsidR="00DA265E" w:rsidRPr="00DA265E" w:rsidRDefault="00DA265E" w:rsidP="00DA265E">
      <w:pPr>
        <w:numPr>
          <w:ilvl w:val="1"/>
          <w:numId w:val="41"/>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Amendment</w:t>
      </w:r>
    </w:p>
    <w:p w14:paraId="09B3C90A" w14:textId="77777777" w:rsidR="00DA265E" w:rsidRPr="00DA265E" w:rsidRDefault="00DA265E" w:rsidP="00DA265E">
      <w:pPr>
        <w:numPr>
          <w:ilvl w:val="1"/>
          <w:numId w:val="41"/>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FYI UPIRTSO</w:t>
      </w:r>
    </w:p>
    <w:p w14:paraId="513449A4" w14:textId="77777777" w:rsidR="00DA265E" w:rsidRPr="00DA265E" w:rsidRDefault="00DA265E" w:rsidP="00DA265E">
      <w:pPr>
        <w:numPr>
          <w:ilvl w:val="1"/>
          <w:numId w:val="41"/>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Noncompliance</w:t>
      </w:r>
    </w:p>
    <w:p w14:paraId="5DF9FD94" w14:textId="77777777" w:rsidR="00DA265E" w:rsidRPr="00DA265E" w:rsidRDefault="00DA265E" w:rsidP="00DA265E">
      <w:pPr>
        <w:numPr>
          <w:ilvl w:val="1"/>
          <w:numId w:val="41"/>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CC NS pain study</w:t>
      </w:r>
    </w:p>
    <w:p w14:paraId="5A821146" w14:textId="77777777" w:rsidR="00DA265E" w:rsidRPr="00DA265E" w:rsidRDefault="00DA265E" w:rsidP="00DA265E">
      <w:pPr>
        <w:numPr>
          <w:ilvl w:val="1"/>
          <w:numId w:val="41"/>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NS tabled</w:t>
      </w:r>
    </w:p>
    <w:p w14:paraId="4ADD8398" w14:textId="77777777" w:rsidR="00DA265E" w:rsidRPr="00DA265E" w:rsidRDefault="00DA265E" w:rsidP="00DA265E">
      <w:pPr>
        <w:numPr>
          <w:ilvl w:val="1"/>
          <w:numId w:val="41"/>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Renewals</w:t>
      </w:r>
    </w:p>
    <w:p w14:paraId="2F0E3DE7" w14:textId="77777777" w:rsidR="00DA265E" w:rsidRPr="00DA265E" w:rsidRDefault="00DA265E" w:rsidP="00DA265E">
      <w:pPr>
        <w:numPr>
          <w:ilvl w:val="1"/>
          <w:numId w:val="41"/>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IU policies on IRB meetings and minutes</w:t>
      </w:r>
    </w:p>
    <w:p w14:paraId="50699F08" w14:textId="77777777" w:rsidR="00DA265E" w:rsidRPr="00DA265E" w:rsidRDefault="00DA265E" w:rsidP="00DA265E">
      <w:pPr>
        <w:numPr>
          <w:ilvl w:val="1"/>
          <w:numId w:val="41"/>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IU policies on IRB membership</w:t>
      </w:r>
    </w:p>
    <w:p w14:paraId="7F06E71F" w14:textId="77777777" w:rsidR="00DA265E" w:rsidRPr="00DA265E" w:rsidRDefault="00DA265E" w:rsidP="00DA265E">
      <w:pPr>
        <w:numPr>
          <w:ilvl w:val="0"/>
          <w:numId w:val="41"/>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Review PowerPoint slides from Week</w:t>
      </w:r>
    </w:p>
    <w:p w14:paraId="46DD7BB5"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b/>
          <w:bCs/>
          <w:color w:val="2D3B45"/>
          <w:kern w:val="0"/>
          <w14:ligatures w14:val="none"/>
        </w:rPr>
        <w:t>OPTIONAL READINGS</w:t>
      </w:r>
      <w:r w:rsidRPr="00DA265E">
        <w:rPr>
          <w:rFonts w:ascii="Lato" w:eastAsia="Times New Roman" w:hAnsi="Lato"/>
          <w:color w:val="2D3B45"/>
          <w:kern w:val="0"/>
          <w14:ligatures w14:val="none"/>
        </w:rPr>
        <w:t>:</w:t>
      </w:r>
    </w:p>
    <w:p w14:paraId="39DFBABA" w14:textId="77777777" w:rsidR="00DA265E" w:rsidRPr="00DA265E" w:rsidRDefault="00DA265E" w:rsidP="00DA265E">
      <w:pPr>
        <w:numPr>
          <w:ilvl w:val="0"/>
          <w:numId w:val="42"/>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RETURN OF RESULTS</w:t>
      </w:r>
    </w:p>
    <w:p w14:paraId="570B4198" w14:textId="77777777" w:rsidR="00DA265E" w:rsidRPr="00DA265E" w:rsidRDefault="00DA265E" w:rsidP="00DA265E">
      <w:pPr>
        <w:numPr>
          <w:ilvl w:val="1"/>
          <w:numId w:val="42"/>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Makela NL, Birch PH, Friedman JM, Marra CA. (2009). Parental perceived value of a diagnosis for intellectual disability (ID): A qualitative comparison of families with and without a diagnosis for their child’s ID. Am J Med Genet Part A 149A:2393–2402.</w:t>
      </w:r>
    </w:p>
    <w:p w14:paraId="65E03DC2" w14:textId="77777777" w:rsidR="00DA265E" w:rsidRPr="00DA265E" w:rsidRDefault="00DA265E" w:rsidP="00DA265E">
      <w:pPr>
        <w:numPr>
          <w:ilvl w:val="1"/>
          <w:numId w:val="42"/>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Clift (2015) Patients' views on incidental findings from clinical exome sequencing</w:t>
      </w:r>
    </w:p>
    <w:p w14:paraId="66AE17A3" w14:textId="77777777" w:rsidR="00DA265E" w:rsidRPr="00DA265E" w:rsidRDefault="00DA265E" w:rsidP="00DA265E">
      <w:pPr>
        <w:numPr>
          <w:ilvl w:val="0"/>
          <w:numId w:val="42"/>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MOCK IRB</w:t>
      </w:r>
    </w:p>
    <w:p w14:paraId="3FCDB217" w14:textId="77777777" w:rsidR="00DA265E" w:rsidRPr="00DA265E" w:rsidRDefault="00DA265E" w:rsidP="00DA265E">
      <w:pPr>
        <w:numPr>
          <w:ilvl w:val="1"/>
          <w:numId w:val="42"/>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[None]</w:t>
      </w:r>
    </w:p>
    <w:p w14:paraId="5135E915"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u w:val="single"/>
          <w14:ligatures w14:val="none"/>
        </w:rPr>
        <w:t>Week 9- October 19:  Informed Consent and Race in Research</w:t>
      </w:r>
    </w:p>
    <w:p w14:paraId="1C3BA478"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TOPICS: Human subjects, the scientist in society, research misconduct</w:t>
      </w:r>
    </w:p>
    <w:p w14:paraId="37216144" w14:textId="77777777" w:rsidR="00DA265E" w:rsidRPr="00DA265E" w:rsidRDefault="00DA265E" w:rsidP="00DA265E">
      <w:pPr>
        <w:numPr>
          <w:ilvl w:val="0"/>
          <w:numId w:val="43"/>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Informed Consent – Colin Halverson</w:t>
      </w:r>
    </w:p>
    <w:p w14:paraId="169D4718" w14:textId="77777777" w:rsidR="00DA265E" w:rsidRPr="00DA265E" w:rsidRDefault="00DA265E" w:rsidP="00DA265E">
      <w:pPr>
        <w:numPr>
          <w:ilvl w:val="0"/>
          <w:numId w:val="43"/>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Clinical Trials and Diversity – Lauren Nephew (hosted day before - Oct. 18th by Zoom)</w:t>
      </w:r>
    </w:p>
    <w:p w14:paraId="2ABD31F2" w14:textId="77777777" w:rsidR="00DA265E" w:rsidRPr="00DA265E" w:rsidRDefault="00DA265E" w:rsidP="00DA265E">
      <w:pPr>
        <w:numPr>
          <w:ilvl w:val="0"/>
          <w:numId w:val="43"/>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International research – Megan McHenry</w:t>
      </w:r>
    </w:p>
    <w:p w14:paraId="3731DCAB"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b/>
          <w:bCs/>
          <w:color w:val="2D3B45"/>
          <w:kern w:val="0"/>
          <w14:ligatures w14:val="none"/>
        </w:rPr>
        <w:t>REQUIRED READINGS</w:t>
      </w:r>
      <w:r w:rsidRPr="00DA265E">
        <w:rPr>
          <w:rFonts w:ascii="Lato" w:eastAsia="Times New Roman" w:hAnsi="Lato"/>
          <w:color w:val="2D3B45"/>
          <w:kern w:val="0"/>
          <w14:ligatures w14:val="none"/>
        </w:rPr>
        <w:t>:</w:t>
      </w:r>
    </w:p>
    <w:p w14:paraId="0EEB581A" w14:textId="77777777" w:rsidR="00DA265E" w:rsidRPr="00DA265E" w:rsidRDefault="00DA265E" w:rsidP="00DA265E">
      <w:pPr>
        <w:numPr>
          <w:ilvl w:val="0"/>
          <w:numId w:val="44"/>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INFORMED CONSENT</w:t>
      </w:r>
    </w:p>
    <w:p w14:paraId="759F97F6" w14:textId="77777777" w:rsidR="00DA265E" w:rsidRPr="00DA265E" w:rsidRDefault="00DA265E" w:rsidP="00DA265E">
      <w:pPr>
        <w:numPr>
          <w:ilvl w:val="1"/>
          <w:numId w:val="44"/>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[None]</w:t>
      </w:r>
    </w:p>
    <w:p w14:paraId="0695B341" w14:textId="77777777" w:rsidR="00DA265E" w:rsidRPr="00DA265E" w:rsidRDefault="00DA265E" w:rsidP="00DA265E">
      <w:pPr>
        <w:numPr>
          <w:ilvl w:val="0"/>
          <w:numId w:val="44"/>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lastRenderedPageBreak/>
        <w:t>DIVERSITY</w:t>
      </w:r>
    </w:p>
    <w:p w14:paraId="380A73E5" w14:textId="77777777" w:rsidR="00DA265E" w:rsidRPr="00DA265E" w:rsidRDefault="00DA265E" w:rsidP="00DA265E">
      <w:pPr>
        <w:numPr>
          <w:ilvl w:val="1"/>
          <w:numId w:val="44"/>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TBD</w:t>
      </w:r>
    </w:p>
    <w:p w14:paraId="040CE346" w14:textId="77777777" w:rsidR="00DA265E" w:rsidRPr="00DA265E" w:rsidRDefault="00DA265E" w:rsidP="00DA265E">
      <w:pPr>
        <w:numPr>
          <w:ilvl w:val="0"/>
          <w:numId w:val="44"/>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INTERNATIONAL RESEARCH</w:t>
      </w:r>
    </w:p>
    <w:p w14:paraId="7D77A80D" w14:textId="77777777" w:rsidR="00DA265E" w:rsidRPr="00DA265E" w:rsidRDefault="00DA265E" w:rsidP="00DA265E">
      <w:pPr>
        <w:numPr>
          <w:ilvl w:val="1"/>
          <w:numId w:val="44"/>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[none]</w:t>
      </w:r>
    </w:p>
    <w:p w14:paraId="727700B1"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b/>
          <w:bCs/>
          <w:color w:val="2D3B45"/>
          <w:kern w:val="0"/>
          <w14:ligatures w14:val="none"/>
        </w:rPr>
        <w:t>OPTIONAL READINGS</w:t>
      </w:r>
      <w:r w:rsidRPr="00DA265E">
        <w:rPr>
          <w:rFonts w:ascii="Lato" w:eastAsia="Times New Roman" w:hAnsi="Lato"/>
          <w:color w:val="2D3B45"/>
          <w:kern w:val="0"/>
          <w14:ligatures w14:val="none"/>
        </w:rPr>
        <w:t>:</w:t>
      </w:r>
    </w:p>
    <w:p w14:paraId="5A627DCF" w14:textId="77777777" w:rsidR="00DA265E" w:rsidRPr="00DA265E" w:rsidRDefault="00DA265E" w:rsidP="00DA265E">
      <w:pPr>
        <w:numPr>
          <w:ilvl w:val="0"/>
          <w:numId w:val="45"/>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INFORMED CONSENT</w:t>
      </w:r>
    </w:p>
    <w:p w14:paraId="0F81639D" w14:textId="77777777" w:rsidR="00DA265E" w:rsidRPr="00DA265E" w:rsidRDefault="00DA265E" w:rsidP="00DA265E">
      <w:pPr>
        <w:numPr>
          <w:ilvl w:val="1"/>
          <w:numId w:val="45"/>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Faden et al. (2014). Informed consent, comparative effectiveness, and learning health care. NEJM, 370, 766-768.</w:t>
      </w:r>
    </w:p>
    <w:p w14:paraId="71D749B6" w14:textId="77777777" w:rsidR="00DA265E" w:rsidRPr="00DA265E" w:rsidRDefault="00DA265E" w:rsidP="00DA265E">
      <w:pPr>
        <w:numPr>
          <w:ilvl w:val="1"/>
          <w:numId w:val="45"/>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Grady, C. (2015). Enduring and emerging challenges of informed consent. NEJM, 372, 855-862.</w:t>
      </w:r>
    </w:p>
    <w:p w14:paraId="6B33B67D" w14:textId="77777777" w:rsidR="00DA265E" w:rsidRPr="00DA265E" w:rsidRDefault="00DA265E" w:rsidP="00DA265E">
      <w:pPr>
        <w:numPr>
          <w:ilvl w:val="0"/>
          <w:numId w:val="45"/>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DIVERSITY</w:t>
      </w:r>
    </w:p>
    <w:p w14:paraId="39ECBE7D"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1. Improving Representation in Clinical Trials and Research (chapters 2 and 5)</w:t>
      </w:r>
    </w:p>
    <w:p w14:paraId="4A549C99"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2. Lancet Article</w:t>
      </w:r>
    </w:p>
    <w:p w14:paraId="2B087598"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3. INTERNATIONAL RESEARCH</w:t>
      </w:r>
    </w:p>
    <w:p w14:paraId="7E942427" w14:textId="77777777" w:rsidR="00DA265E" w:rsidRPr="00DA265E" w:rsidRDefault="00DA265E" w:rsidP="00DA265E">
      <w:pPr>
        <w:numPr>
          <w:ilvl w:val="0"/>
          <w:numId w:val="46"/>
        </w:numPr>
        <w:spacing w:before="100" w:beforeAutospacing="1" w:after="100" w:afterAutospacing="1"/>
        <w:ind w:left="1095"/>
        <w:rPr>
          <w:rFonts w:ascii="Lato" w:eastAsia="Times New Roman" w:hAnsi="Lato"/>
          <w:color w:val="2D3B45"/>
          <w:kern w:val="0"/>
          <w14:ligatures w14:val="none"/>
        </w:rPr>
      </w:pPr>
    </w:p>
    <w:p w14:paraId="143BE781" w14:textId="77777777" w:rsidR="00DA265E" w:rsidRPr="00DA265E" w:rsidRDefault="00DA265E" w:rsidP="00DA265E">
      <w:pPr>
        <w:numPr>
          <w:ilvl w:val="1"/>
          <w:numId w:val="46"/>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EJ Emanuel (2004) “What makes clinical research in developing countries ethical?”</w:t>
      </w:r>
    </w:p>
    <w:p w14:paraId="592CF297" w14:textId="77777777" w:rsidR="00DA265E" w:rsidRPr="00DA265E" w:rsidRDefault="00DA265E" w:rsidP="00DA265E">
      <w:pPr>
        <w:numPr>
          <w:ilvl w:val="1"/>
          <w:numId w:val="46"/>
        </w:numPr>
        <w:spacing w:beforeAutospacing="1"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[to skim:] </w:t>
      </w:r>
      <w:hyperlink r:id="rId39" w:tgtFrame="_blank" w:history="1">
        <w:r w:rsidRPr="00DA265E">
          <w:rPr>
            <w:rFonts w:ascii="Lato" w:eastAsia="Times New Roman" w:hAnsi="Lato"/>
            <w:color w:val="0000FF"/>
            <w:kern w:val="0"/>
            <w:u w:val="single"/>
            <w14:ligatures w14:val="none"/>
          </w:rPr>
          <w:t>International ethical guidelines for health-related research involving humans(Links to an external site.)</w:t>
        </w:r>
        <w:r w:rsidRPr="00DA265E">
          <w:rPr>
            <w:rFonts w:ascii="Lato" w:eastAsia="Times New Roman" w:hAnsi="Lato"/>
            <w:color w:val="0000FF"/>
            <w:kern w:val="0"/>
            <w:u w:val="single"/>
            <w:bdr w:val="none" w:sz="0" w:space="0" w:color="auto" w:frame="1"/>
            <w14:ligatures w14:val="none"/>
          </w:rPr>
          <w:t>Links to an external site.</w:t>
        </w:r>
      </w:hyperlink>
    </w:p>
    <w:p w14:paraId="2C636392" w14:textId="77777777" w:rsidR="00DA265E" w:rsidRPr="00DA265E" w:rsidRDefault="00DA265E" w:rsidP="00DA265E">
      <w:pPr>
        <w:numPr>
          <w:ilvl w:val="1"/>
          <w:numId w:val="46"/>
        </w:numPr>
        <w:spacing w:beforeAutospacing="1" w:afterAutospacing="1"/>
        <w:ind w:left="2190"/>
        <w:rPr>
          <w:rFonts w:ascii="Lato" w:eastAsia="Times New Roman" w:hAnsi="Lato"/>
          <w:color w:val="2D3B45"/>
          <w:kern w:val="0"/>
          <w14:ligatures w14:val="none"/>
        </w:rPr>
      </w:pPr>
      <w:hyperlink r:id="rId40" w:tgtFrame="_blank" w:history="1">
        <w:r w:rsidRPr="00DA265E">
          <w:rPr>
            <w:rFonts w:ascii="Lato" w:eastAsia="Times New Roman" w:hAnsi="Lato"/>
            <w:color w:val="0000FF"/>
            <w:kern w:val="0"/>
            <w:u w:val="single"/>
            <w14:ligatures w14:val="none"/>
          </w:rPr>
          <w:t>Council for International Organizations of Medical Sciences Guidelines(Links to an external site.)</w:t>
        </w:r>
        <w:r w:rsidRPr="00DA265E">
          <w:rPr>
            <w:rFonts w:ascii="Lato" w:eastAsia="Times New Roman" w:hAnsi="Lato"/>
            <w:color w:val="0000FF"/>
            <w:kern w:val="0"/>
            <w:u w:val="single"/>
            <w:bdr w:val="none" w:sz="0" w:space="0" w:color="auto" w:frame="1"/>
            <w14:ligatures w14:val="none"/>
          </w:rPr>
          <w:t>Links to an external site.</w:t>
        </w:r>
      </w:hyperlink>
    </w:p>
    <w:p w14:paraId="7BEFB446"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u w:val="single"/>
          <w14:ligatures w14:val="none"/>
        </w:rPr>
        <w:t>Week 10- October 26: Animals in Research</w:t>
      </w:r>
    </w:p>
    <w:p w14:paraId="35E3D246"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TOPICS: Animals in research, the scientist in society</w:t>
      </w:r>
    </w:p>
    <w:p w14:paraId="0006900A" w14:textId="77777777" w:rsidR="00DA265E" w:rsidRPr="00DA265E" w:rsidRDefault="00DA265E" w:rsidP="00DA265E">
      <w:pPr>
        <w:numPr>
          <w:ilvl w:val="0"/>
          <w:numId w:val="47"/>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Research with Invertebrates – Colin Halverson</w:t>
      </w:r>
    </w:p>
    <w:p w14:paraId="16D0837C" w14:textId="77777777" w:rsidR="00DA265E" w:rsidRPr="00DA265E" w:rsidRDefault="00DA265E" w:rsidP="00DA265E">
      <w:pPr>
        <w:numPr>
          <w:ilvl w:val="0"/>
          <w:numId w:val="47"/>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Research with Nonhuman Vertebrates – Matthew Allen</w:t>
      </w:r>
    </w:p>
    <w:p w14:paraId="5850FA33"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b/>
          <w:bCs/>
          <w:color w:val="2D3B45"/>
          <w:kern w:val="0"/>
          <w14:ligatures w14:val="none"/>
        </w:rPr>
        <w:t>REQUIRED READINGS</w:t>
      </w:r>
      <w:r w:rsidRPr="00DA265E">
        <w:rPr>
          <w:rFonts w:ascii="Lato" w:eastAsia="Times New Roman" w:hAnsi="Lato"/>
          <w:color w:val="2D3B45"/>
          <w:kern w:val="0"/>
          <w14:ligatures w14:val="none"/>
        </w:rPr>
        <w:t>:</w:t>
      </w:r>
    </w:p>
    <w:p w14:paraId="359B48F8" w14:textId="77777777" w:rsidR="00DA265E" w:rsidRPr="00DA265E" w:rsidRDefault="00DA265E" w:rsidP="00DA265E">
      <w:pPr>
        <w:numPr>
          <w:ilvl w:val="0"/>
          <w:numId w:val="48"/>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INVERTEBRATES</w:t>
      </w:r>
    </w:p>
    <w:p w14:paraId="214B1C93" w14:textId="77777777" w:rsidR="00DA265E" w:rsidRPr="00DA265E" w:rsidRDefault="00DA265E" w:rsidP="00DA265E">
      <w:pPr>
        <w:numPr>
          <w:ilvl w:val="1"/>
          <w:numId w:val="48"/>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[none]</w:t>
      </w:r>
    </w:p>
    <w:p w14:paraId="5993FC02" w14:textId="77777777" w:rsidR="00DA265E" w:rsidRPr="00DA265E" w:rsidRDefault="00DA265E" w:rsidP="00DA265E">
      <w:pPr>
        <w:numPr>
          <w:ilvl w:val="0"/>
          <w:numId w:val="48"/>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NONHUMAN VERTEBRATES</w:t>
      </w:r>
    </w:p>
    <w:p w14:paraId="1D37B2F1" w14:textId="77777777" w:rsidR="00DA265E" w:rsidRPr="00DA265E" w:rsidRDefault="00DA265E" w:rsidP="00DA265E">
      <w:pPr>
        <w:numPr>
          <w:ilvl w:val="1"/>
          <w:numId w:val="48"/>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[none]</w:t>
      </w:r>
    </w:p>
    <w:p w14:paraId="7CD895B3"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b/>
          <w:bCs/>
          <w:color w:val="2D3B45"/>
          <w:kern w:val="0"/>
          <w14:ligatures w14:val="none"/>
        </w:rPr>
        <w:t>OPTIONAL READINGS</w:t>
      </w:r>
      <w:r w:rsidRPr="00DA265E">
        <w:rPr>
          <w:rFonts w:ascii="Lato" w:eastAsia="Times New Roman" w:hAnsi="Lato"/>
          <w:color w:val="2D3B45"/>
          <w:kern w:val="0"/>
          <w14:ligatures w14:val="none"/>
        </w:rPr>
        <w:t>:</w:t>
      </w:r>
    </w:p>
    <w:p w14:paraId="1BF3DF2D" w14:textId="77777777" w:rsidR="00DA265E" w:rsidRPr="00DA265E" w:rsidRDefault="00DA265E" w:rsidP="00DA265E">
      <w:pPr>
        <w:numPr>
          <w:ilvl w:val="0"/>
          <w:numId w:val="49"/>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INVERTEBRATES</w:t>
      </w:r>
    </w:p>
    <w:p w14:paraId="75C59171" w14:textId="77777777" w:rsidR="00DA265E" w:rsidRPr="00DA265E" w:rsidRDefault="00DA265E" w:rsidP="00DA265E">
      <w:pPr>
        <w:numPr>
          <w:ilvl w:val="1"/>
          <w:numId w:val="49"/>
        </w:numPr>
        <w:spacing w:beforeAutospacing="1"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lastRenderedPageBreak/>
        <w:t>Friedersdorf, C. (2013). Consider the Lobster Claw: Why a twist on an arcade classis delights and disturbs us. The Atlantic. </w:t>
      </w:r>
      <w:hyperlink r:id="rId41" w:tgtFrame="_blank" w:history="1">
        <w:r w:rsidRPr="00DA265E">
          <w:rPr>
            <w:rFonts w:ascii="Lato" w:eastAsia="Times New Roman" w:hAnsi="Lato"/>
            <w:color w:val="0000FF"/>
            <w:kern w:val="0"/>
            <w:u w:val="single"/>
            <w14:ligatures w14:val="none"/>
          </w:rPr>
          <w:t>https://www.theatlantic.com/technology/archive/2013/03/consider-the-lobster-claw-why-a-twist-on-an-arcade-classic-delights-and-disturbs-us/273977/(Links to an external site.)</w:t>
        </w:r>
        <w:r w:rsidRPr="00DA265E">
          <w:rPr>
            <w:rFonts w:ascii="Lato" w:eastAsia="Times New Roman" w:hAnsi="Lato"/>
            <w:color w:val="0000FF"/>
            <w:kern w:val="0"/>
            <w:u w:val="single"/>
            <w:bdr w:val="none" w:sz="0" w:space="0" w:color="auto" w:frame="1"/>
            <w14:ligatures w14:val="none"/>
          </w:rPr>
          <w:t>Links to an external site.</w:t>
        </w:r>
      </w:hyperlink>
    </w:p>
    <w:p w14:paraId="3769A2EC" w14:textId="77777777" w:rsidR="00DA265E" w:rsidRPr="00DA265E" w:rsidRDefault="00DA265E" w:rsidP="00DA265E">
      <w:pPr>
        <w:numPr>
          <w:ilvl w:val="1"/>
          <w:numId w:val="49"/>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Elwood - 2012 - Evidence for pain in decapod crustaceans</w:t>
      </w:r>
    </w:p>
    <w:p w14:paraId="6A9C0FC6" w14:textId="77777777" w:rsidR="00DA265E" w:rsidRPr="00DA265E" w:rsidRDefault="00DA265E" w:rsidP="00DA265E">
      <w:pPr>
        <w:numPr>
          <w:ilvl w:val="0"/>
          <w:numId w:val="49"/>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NONHUMAN VERTEBRATES</w:t>
      </w:r>
    </w:p>
    <w:p w14:paraId="0016092F" w14:textId="77777777" w:rsidR="00DA265E" w:rsidRPr="00DA265E" w:rsidRDefault="00DA265E" w:rsidP="00DA265E">
      <w:pPr>
        <w:numPr>
          <w:ilvl w:val="1"/>
          <w:numId w:val="49"/>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[none] </w:t>
      </w:r>
    </w:p>
    <w:p w14:paraId="686AF2EA"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u w:val="single"/>
          <w14:ligatures w14:val="none"/>
        </w:rPr>
        <w:t>Week 11- November 2: Science and Society, and Self-Experimentation</w:t>
      </w:r>
    </w:p>
    <w:p w14:paraId="69F5E69B"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b/>
          <w:bCs/>
          <w:color w:val="2D3B45"/>
          <w:kern w:val="0"/>
          <w14:ligatures w14:val="none"/>
        </w:rPr>
        <w:t>TOPICS</w:t>
      </w:r>
      <w:r w:rsidRPr="00DA265E">
        <w:rPr>
          <w:rFonts w:ascii="Lato" w:eastAsia="Times New Roman" w:hAnsi="Lato"/>
          <w:color w:val="2D3B45"/>
          <w:kern w:val="0"/>
          <w14:ligatures w14:val="none"/>
        </w:rPr>
        <w:t>: Human subjects, collaboration, data management, research misconduct, the scientist in society</w:t>
      </w:r>
    </w:p>
    <w:p w14:paraId="199CA97E"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i/>
          <w:iCs/>
          <w:color w:val="2D3B45"/>
          <w:kern w:val="0"/>
          <w14:ligatures w14:val="none"/>
        </w:rPr>
        <w:t>Introduction – Colin Halverson</w:t>
      </w:r>
    </w:p>
    <w:p w14:paraId="2A1F10CE" w14:textId="77777777" w:rsidR="00DA265E" w:rsidRPr="00DA265E" w:rsidRDefault="00DA265E" w:rsidP="00DA265E">
      <w:pPr>
        <w:numPr>
          <w:ilvl w:val="0"/>
          <w:numId w:val="50"/>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Return of Results - Colin Halverson</w:t>
      </w:r>
    </w:p>
    <w:p w14:paraId="04D47400" w14:textId="77777777" w:rsidR="00DA265E" w:rsidRPr="00DA265E" w:rsidRDefault="00DA265E" w:rsidP="00DA265E">
      <w:pPr>
        <w:numPr>
          <w:ilvl w:val="0"/>
          <w:numId w:val="50"/>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Self-experimentation – Tom Doyle</w:t>
      </w:r>
    </w:p>
    <w:p w14:paraId="6572CA36"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b/>
          <w:bCs/>
          <w:color w:val="2D3B45"/>
          <w:kern w:val="0"/>
          <w14:ligatures w14:val="none"/>
        </w:rPr>
        <w:t>REQUIRED READINGS:</w:t>
      </w:r>
    </w:p>
    <w:p w14:paraId="7FC46BE1" w14:textId="77777777" w:rsidR="00DA265E" w:rsidRPr="00DA265E" w:rsidRDefault="00DA265E" w:rsidP="00DA265E">
      <w:pPr>
        <w:numPr>
          <w:ilvl w:val="0"/>
          <w:numId w:val="51"/>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Return of Results</w:t>
      </w:r>
    </w:p>
    <w:p w14:paraId="2D6B9704" w14:textId="77777777" w:rsidR="00DA265E" w:rsidRPr="00DA265E" w:rsidRDefault="00DA265E" w:rsidP="00DA265E">
      <w:pPr>
        <w:numPr>
          <w:ilvl w:val="1"/>
          <w:numId w:val="51"/>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None</w:t>
      </w:r>
    </w:p>
    <w:p w14:paraId="138D4D19" w14:textId="77777777" w:rsidR="00DA265E" w:rsidRPr="00DA265E" w:rsidRDefault="00DA265E" w:rsidP="00DA265E">
      <w:pPr>
        <w:numPr>
          <w:ilvl w:val="0"/>
          <w:numId w:val="51"/>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 SELF-EXPERIMENTATION</w:t>
      </w:r>
    </w:p>
    <w:p w14:paraId="2ED366FD" w14:textId="77777777" w:rsidR="00DA265E" w:rsidRPr="00DA265E" w:rsidRDefault="00DA265E" w:rsidP="00DA265E">
      <w:pPr>
        <w:numPr>
          <w:ilvl w:val="1"/>
          <w:numId w:val="51"/>
        </w:numPr>
        <w:spacing w:beforeAutospacing="1" w:afterAutospacing="1"/>
        <w:ind w:left="2190"/>
        <w:rPr>
          <w:rFonts w:ascii="Lato" w:eastAsia="Times New Roman" w:hAnsi="Lato"/>
          <w:color w:val="2D3B45"/>
          <w:kern w:val="0"/>
          <w14:ligatures w14:val="none"/>
        </w:rPr>
      </w:pPr>
      <w:hyperlink r:id="rId42" w:tgtFrame="_blank" w:history="1">
        <w:r w:rsidRPr="00DA265E">
          <w:rPr>
            <w:rFonts w:ascii="Lato" w:eastAsia="Times New Roman" w:hAnsi="Lato"/>
            <w:color w:val="0000FF"/>
            <w:kern w:val="0"/>
            <w:u w:val="single"/>
            <w14:ligatures w14:val="none"/>
          </w:rPr>
          <w:t>Review of Scientific Self-Experimentation:</w:t>
        </w:r>
        <w:r w:rsidRPr="00DA265E">
          <w:rPr>
            <w:rFonts w:ascii="Lato" w:eastAsia="Times New Roman" w:hAnsi="Lato"/>
            <w:color w:val="0000FF"/>
            <w:kern w:val="0"/>
            <w:u w:val="single"/>
            <w:bdr w:val="none" w:sz="0" w:space="0" w:color="auto" w:frame="1"/>
            <w14:ligatures w14:val="none"/>
          </w:rPr>
          <w:t>Links to an external site.</w:t>
        </w:r>
      </w:hyperlink>
    </w:p>
    <w:p w14:paraId="7F22C682"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b/>
          <w:bCs/>
          <w:color w:val="2D3B45"/>
          <w:kern w:val="0"/>
          <w14:ligatures w14:val="none"/>
        </w:rPr>
        <w:t>OPTIONAL READINGS:</w:t>
      </w:r>
    </w:p>
    <w:p w14:paraId="742657D1"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1. Return of Results</w:t>
      </w:r>
    </w:p>
    <w:p w14:paraId="7E03F105"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       1.  None</w:t>
      </w:r>
    </w:p>
    <w:p w14:paraId="78425602"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2. SELF-EXPERIMENTATION</w:t>
      </w:r>
    </w:p>
    <w:p w14:paraId="23EA7B0C" w14:textId="77777777" w:rsidR="00DA265E" w:rsidRPr="00DA265E" w:rsidRDefault="00DA265E" w:rsidP="00DA265E">
      <w:pPr>
        <w:numPr>
          <w:ilvl w:val="0"/>
          <w:numId w:val="52"/>
        </w:numPr>
        <w:spacing w:before="100" w:beforeAutospacing="1" w:after="100" w:afterAutospacing="1"/>
        <w:ind w:left="1095"/>
        <w:rPr>
          <w:rFonts w:ascii="Lato" w:eastAsia="Times New Roman" w:hAnsi="Lato"/>
          <w:color w:val="2D3B45"/>
          <w:kern w:val="0"/>
          <w14:ligatures w14:val="none"/>
        </w:rPr>
      </w:pPr>
    </w:p>
    <w:p w14:paraId="757F399F" w14:textId="77777777" w:rsidR="00DA265E" w:rsidRPr="00DA265E" w:rsidRDefault="00DA265E" w:rsidP="00DA265E">
      <w:pPr>
        <w:numPr>
          <w:ilvl w:val="1"/>
          <w:numId w:val="52"/>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None</w:t>
      </w:r>
    </w:p>
    <w:p w14:paraId="2CD286CB"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u w:val="single"/>
          <w14:ligatures w14:val="none"/>
        </w:rPr>
        <w:t>Week 12- November 9: Incarcerated Persons and International Research</w:t>
      </w:r>
    </w:p>
    <w:p w14:paraId="2389E128"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TOPICS: Human subjects, the scientist in society, contemporary issues, environmental/societal impacts, responsible authorship and publication</w:t>
      </w:r>
    </w:p>
    <w:p w14:paraId="7B8F72FA"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i/>
          <w:iCs/>
          <w:color w:val="2D3B45"/>
          <w:kern w:val="0"/>
          <w14:ligatures w14:val="none"/>
        </w:rPr>
        <w:t>Introduction – Colin Halverson</w:t>
      </w:r>
    </w:p>
    <w:p w14:paraId="493ACA8B" w14:textId="77777777" w:rsidR="00DA265E" w:rsidRPr="00DA265E" w:rsidRDefault="00DA265E" w:rsidP="00DA265E">
      <w:pPr>
        <w:numPr>
          <w:ilvl w:val="0"/>
          <w:numId w:val="53"/>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Research with incarcerated persons – Danielle Giltner</w:t>
      </w:r>
    </w:p>
    <w:p w14:paraId="6F791BB9" w14:textId="77777777" w:rsidR="00DA265E" w:rsidRPr="00DA265E" w:rsidRDefault="00DA265E" w:rsidP="00DA265E">
      <w:pPr>
        <w:numPr>
          <w:ilvl w:val="0"/>
          <w:numId w:val="53"/>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Science and Society – Meg Gaffney</w:t>
      </w:r>
    </w:p>
    <w:p w14:paraId="14297142"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b/>
          <w:bCs/>
          <w:color w:val="2D3B45"/>
          <w:kern w:val="0"/>
          <w14:ligatures w14:val="none"/>
        </w:rPr>
        <w:lastRenderedPageBreak/>
        <w:t>REQUIRED READINGS:</w:t>
      </w:r>
    </w:p>
    <w:p w14:paraId="14EABDC8" w14:textId="77777777" w:rsidR="00DA265E" w:rsidRPr="00DA265E" w:rsidRDefault="00DA265E" w:rsidP="00DA265E">
      <w:pPr>
        <w:numPr>
          <w:ilvl w:val="0"/>
          <w:numId w:val="54"/>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INCARCERATED PERSONS</w:t>
      </w:r>
    </w:p>
    <w:p w14:paraId="0C7F5C1B" w14:textId="77777777" w:rsidR="00DA265E" w:rsidRPr="00DA265E" w:rsidRDefault="00DA265E" w:rsidP="00DA265E">
      <w:pPr>
        <w:numPr>
          <w:ilvl w:val="1"/>
          <w:numId w:val="54"/>
        </w:numPr>
        <w:spacing w:beforeAutospacing="1" w:afterAutospacing="1"/>
        <w:ind w:left="2190"/>
        <w:rPr>
          <w:rFonts w:ascii="Lato" w:eastAsia="Times New Roman" w:hAnsi="Lato"/>
          <w:color w:val="2D3B45"/>
          <w:kern w:val="0"/>
          <w14:ligatures w14:val="none"/>
        </w:rPr>
      </w:pPr>
      <w:hyperlink r:id="rId43" w:tgtFrame="_blank" w:history="1">
        <w:r w:rsidRPr="00DA265E">
          <w:rPr>
            <w:rFonts w:ascii="Lato" w:eastAsia="Times New Roman" w:hAnsi="Lato"/>
            <w:color w:val="0000FF"/>
            <w:kern w:val="0"/>
            <w:u w:val="single"/>
            <w14:ligatures w14:val="none"/>
          </w:rPr>
          <w:t>Subpart C—Additional Protections Pertaining to Biomedical and Behavioral Research Involving Prisoners as Subjects(Links to an external site.)</w:t>
        </w:r>
        <w:r w:rsidRPr="00DA265E">
          <w:rPr>
            <w:rFonts w:ascii="Lato" w:eastAsia="Times New Roman" w:hAnsi="Lato"/>
            <w:color w:val="0000FF"/>
            <w:kern w:val="0"/>
            <w:u w:val="single"/>
            <w:bdr w:val="none" w:sz="0" w:space="0" w:color="auto" w:frame="1"/>
            <w14:ligatures w14:val="none"/>
          </w:rPr>
          <w:t>Links to an external site.</w:t>
        </w:r>
      </w:hyperlink>
    </w:p>
    <w:p w14:paraId="0CFD1F00" w14:textId="77777777" w:rsidR="00DA265E" w:rsidRPr="00DA265E" w:rsidRDefault="00DA265E" w:rsidP="00DA265E">
      <w:pPr>
        <w:numPr>
          <w:ilvl w:val="0"/>
          <w:numId w:val="54"/>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SCIENCE AND SOCIETY</w:t>
      </w:r>
    </w:p>
    <w:p w14:paraId="659AF666" w14:textId="77777777" w:rsidR="00DA265E" w:rsidRPr="00DA265E" w:rsidRDefault="00DA265E" w:rsidP="00DA265E">
      <w:pPr>
        <w:numPr>
          <w:ilvl w:val="1"/>
          <w:numId w:val="54"/>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Didier “Science and society”</w:t>
      </w:r>
    </w:p>
    <w:p w14:paraId="04EB9820" w14:textId="77777777" w:rsidR="00DA265E" w:rsidRPr="00DA265E" w:rsidRDefault="00DA265E" w:rsidP="00DA265E">
      <w:pPr>
        <w:numPr>
          <w:ilvl w:val="1"/>
          <w:numId w:val="54"/>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Lucas “The responsibility of scientists to society”</w:t>
      </w:r>
    </w:p>
    <w:p w14:paraId="5D37BAC5" w14:textId="77777777" w:rsidR="00DA265E" w:rsidRPr="00DA265E" w:rsidRDefault="00DA265E" w:rsidP="00DA265E">
      <w:pPr>
        <w:numPr>
          <w:ilvl w:val="1"/>
          <w:numId w:val="54"/>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Godwin “We will get regular body upgrades"</w:t>
      </w:r>
    </w:p>
    <w:p w14:paraId="3E050BC8" w14:textId="77777777" w:rsidR="00DA265E" w:rsidRPr="00DA265E" w:rsidRDefault="00DA265E" w:rsidP="00DA265E">
      <w:pPr>
        <w:numPr>
          <w:ilvl w:val="1"/>
          <w:numId w:val="54"/>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NPR Article</w:t>
      </w:r>
    </w:p>
    <w:p w14:paraId="62A1C6EE"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b/>
          <w:bCs/>
          <w:color w:val="2D3B45"/>
          <w:kern w:val="0"/>
          <w14:ligatures w14:val="none"/>
        </w:rPr>
        <w:t>OPTIONAL READINGS:</w:t>
      </w:r>
    </w:p>
    <w:p w14:paraId="7359790A" w14:textId="77777777" w:rsidR="00DA265E" w:rsidRPr="00DA265E" w:rsidRDefault="00DA265E" w:rsidP="00DA265E">
      <w:pPr>
        <w:numPr>
          <w:ilvl w:val="0"/>
          <w:numId w:val="55"/>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INCARCERATED PERSONS</w:t>
      </w:r>
    </w:p>
    <w:p w14:paraId="4A857A01" w14:textId="77777777" w:rsidR="00DA265E" w:rsidRPr="00DA265E" w:rsidRDefault="00DA265E" w:rsidP="00DA265E">
      <w:pPr>
        <w:numPr>
          <w:ilvl w:val="1"/>
          <w:numId w:val="55"/>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[none]</w:t>
      </w:r>
    </w:p>
    <w:p w14:paraId="7DA65E7D" w14:textId="77777777" w:rsidR="00DA265E" w:rsidRPr="00DA265E" w:rsidRDefault="00DA265E" w:rsidP="00DA265E">
      <w:pPr>
        <w:numPr>
          <w:ilvl w:val="0"/>
          <w:numId w:val="55"/>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SCIENCE AND SOCIETY</w:t>
      </w:r>
    </w:p>
    <w:p w14:paraId="7283D15A" w14:textId="77777777" w:rsidR="00DA265E" w:rsidRPr="00DA265E" w:rsidRDefault="00DA265E" w:rsidP="00DA265E">
      <w:pPr>
        <w:numPr>
          <w:ilvl w:val="1"/>
          <w:numId w:val="55"/>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None</w:t>
      </w:r>
    </w:p>
    <w:p w14:paraId="460351C5"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b/>
          <w:bCs/>
          <w:color w:val="2D3B45"/>
          <w:kern w:val="0"/>
          <w14:ligatures w14:val="none"/>
        </w:rPr>
        <w:t>Unit 3 – Research and Society</w:t>
      </w:r>
    </w:p>
    <w:p w14:paraId="0864D7F3"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u w:val="single"/>
          <w14:ligatures w14:val="none"/>
        </w:rPr>
        <w:t>Week 13- November 16: Public Health and Women in Research </w:t>
      </w:r>
    </w:p>
    <w:p w14:paraId="1FBD2F8A"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TOPICS: Collaboration, the scientist in society, contemporary issues, environmental/societal impacts, human subjects, cognitive bias, public media</w:t>
      </w:r>
    </w:p>
    <w:p w14:paraId="37D585B1"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i/>
          <w:iCs/>
          <w:color w:val="2D3B45"/>
          <w:kern w:val="0"/>
          <w14:ligatures w14:val="none"/>
        </w:rPr>
        <w:t>Introduction – Colin Halverson</w:t>
      </w:r>
    </w:p>
    <w:p w14:paraId="1576B8DC" w14:textId="77777777" w:rsidR="00DA265E" w:rsidRPr="00DA265E" w:rsidRDefault="00DA265E" w:rsidP="00DA265E">
      <w:pPr>
        <w:numPr>
          <w:ilvl w:val="0"/>
          <w:numId w:val="56"/>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Public Health – Amy Martin</w:t>
      </w:r>
    </w:p>
    <w:p w14:paraId="069E966F" w14:textId="77777777" w:rsidR="00DA265E" w:rsidRPr="00DA265E" w:rsidRDefault="00DA265E" w:rsidP="00DA265E">
      <w:pPr>
        <w:numPr>
          <w:ilvl w:val="0"/>
          <w:numId w:val="56"/>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Women in Research – Christian Kautzman</w:t>
      </w:r>
    </w:p>
    <w:p w14:paraId="0CFDD0E2"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b/>
          <w:bCs/>
          <w:color w:val="2D3B45"/>
          <w:kern w:val="0"/>
          <w14:ligatures w14:val="none"/>
        </w:rPr>
        <w:t>REQUIRED READINGS:</w:t>
      </w:r>
    </w:p>
    <w:p w14:paraId="00431631" w14:textId="77777777" w:rsidR="00DA265E" w:rsidRPr="00DA265E" w:rsidRDefault="00DA265E" w:rsidP="00DA265E">
      <w:pPr>
        <w:numPr>
          <w:ilvl w:val="0"/>
          <w:numId w:val="57"/>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PUBLIC HEALTH</w:t>
      </w:r>
    </w:p>
    <w:p w14:paraId="28B71019" w14:textId="77777777" w:rsidR="00DA265E" w:rsidRPr="00DA265E" w:rsidRDefault="00DA265E" w:rsidP="00DA265E">
      <w:pPr>
        <w:numPr>
          <w:ilvl w:val="1"/>
          <w:numId w:val="57"/>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[None]</w:t>
      </w:r>
    </w:p>
    <w:p w14:paraId="11F14EB3" w14:textId="77777777" w:rsidR="00DA265E" w:rsidRPr="00DA265E" w:rsidRDefault="00DA265E" w:rsidP="00DA265E">
      <w:pPr>
        <w:numPr>
          <w:ilvl w:val="0"/>
          <w:numId w:val="58"/>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WOMEN IN RESEARCH</w:t>
      </w:r>
    </w:p>
    <w:p w14:paraId="7164F30E" w14:textId="77777777" w:rsidR="00DA265E" w:rsidRPr="00DA265E" w:rsidRDefault="00DA265E" w:rsidP="00DA265E">
      <w:pPr>
        <w:numPr>
          <w:ilvl w:val="1"/>
          <w:numId w:val="58"/>
        </w:numPr>
        <w:spacing w:beforeAutospacing="1" w:afterAutospacing="1"/>
        <w:ind w:left="2190"/>
        <w:rPr>
          <w:rFonts w:ascii="Lato" w:eastAsia="Times New Roman" w:hAnsi="Lato"/>
          <w:color w:val="2D3B45"/>
          <w:kern w:val="0"/>
          <w14:ligatures w14:val="none"/>
        </w:rPr>
      </w:pPr>
      <w:hyperlink r:id="rId44" w:tgtFrame="_blank" w:history="1">
        <w:r w:rsidRPr="00DA265E">
          <w:rPr>
            <w:rFonts w:ascii="Lato" w:eastAsia="Times New Roman" w:hAnsi="Lato"/>
            <w:color w:val="0000FF"/>
            <w:kern w:val="0"/>
            <w:u w:val="single"/>
            <w14:ligatures w14:val="none"/>
          </w:rPr>
          <w:t>https://www.openaccessjournals.com/articles/from-no-to-yes-the-history-and-ethics-of-including-pregnant-women-in-clinical-trials.pdf(Links to an external site.)</w:t>
        </w:r>
        <w:r w:rsidRPr="00DA265E">
          <w:rPr>
            <w:rFonts w:ascii="Lato" w:eastAsia="Times New Roman" w:hAnsi="Lato"/>
            <w:color w:val="0000FF"/>
            <w:kern w:val="0"/>
            <w:u w:val="single"/>
            <w:bdr w:val="none" w:sz="0" w:space="0" w:color="auto" w:frame="1"/>
            <w14:ligatures w14:val="none"/>
          </w:rPr>
          <w:t>Links to an external site.</w:t>
        </w:r>
      </w:hyperlink>
    </w:p>
    <w:p w14:paraId="48CD4B9C"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b/>
          <w:bCs/>
          <w:color w:val="2D3B45"/>
          <w:kern w:val="0"/>
          <w14:ligatures w14:val="none"/>
        </w:rPr>
        <w:t>OPTIONAL READINGS:</w:t>
      </w:r>
    </w:p>
    <w:p w14:paraId="06DA6C54" w14:textId="77777777" w:rsidR="00DA265E" w:rsidRPr="00DA265E" w:rsidRDefault="00DA265E" w:rsidP="00DA265E">
      <w:pPr>
        <w:numPr>
          <w:ilvl w:val="0"/>
          <w:numId w:val="59"/>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PUBLIC HEALTH</w:t>
      </w:r>
    </w:p>
    <w:p w14:paraId="047A7F07" w14:textId="77777777" w:rsidR="00DA265E" w:rsidRPr="00DA265E" w:rsidRDefault="00DA265E" w:rsidP="00DA265E">
      <w:pPr>
        <w:numPr>
          <w:ilvl w:val="1"/>
          <w:numId w:val="59"/>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IU HRPP policy “Individuals lacking capacity”</w:t>
      </w:r>
    </w:p>
    <w:p w14:paraId="6A67DEF8" w14:textId="77777777" w:rsidR="00DA265E" w:rsidRPr="00DA265E" w:rsidRDefault="00DA265E" w:rsidP="00DA265E">
      <w:pPr>
        <w:numPr>
          <w:ilvl w:val="1"/>
          <w:numId w:val="59"/>
        </w:numPr>
        <w:spacing w:beforeAutospacing="1" w:afterAutospacing="1"/>
        <w:ind w:left="2190"/>
        <w:rPr>
          <w:rFonts w:ascii="Lato" w:eastAsia="Times New Roman" w:hAnsi="Lato"/>
          <w:color w:val="2D3B45"/>
          <w:kern w:val="0"/>
          <w14:ligatures w14:val="none"/>
        </w:rPr>
      </w:pPr>
      <w:hyperlink r:id="rId45" w:tgtFrame="_blank" w:history="1">
        <w:r w:rsidRPr="00DA265E">
          <w:rPr>
            <w:rFonts w:ascii="Lato" w:eastAsia="Times New Roman" w:hAnsi="Lato"/>
            <w:color w:val="0000FF"/>
            <w:kern w:val="0"/>
            <w:u w:val="single"/>
            <w14:ligatures w14:val="none"/>
          </w:rPr>
          <w:t>Research involving individuals with questionable capacity to consent (Links to an external site.)</w:t>
        </w:r>
        <w:r w:rsidRPr="00DA265E">
          <w:rPr>
            <w:rFonts w:ascii="Lato" w:eastAsia="Times New Roman" w:hAnsi="Lato"/>
            <w:color w:val="0000FF"/>
            <w:kern w:val="0"/>
            <w:u w:val="single"/>
            <w:bdr w:val="none" w:sz="0" w:space="0" w:color="auto" w:frame="1"/>
            <w14:ligatures w14:val="none"/>
          </w:rPr>
          <w:t>Links to an external site.</w:t>
        </w:r>
      </w:hyperlink>
    </w:p>
    <w:p w14:paraId="2DE1CF79" w14:textId="77777777" w:rsidR="00DA265E" w:rsidRPr="00DA265E" w:rsidRDefault="00DA265E" w:rsidP="00DA265E">
      <w:pPr>
        <w:numPr>
          <w:ilvl w:val="0"/>
          <w:numId w:val="60"/>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WOMEN IN RESEARCH</w:t>
      </w:r>
    </w:p>
    <w:p w14:paraId="4AE126B4" w14:textId="77777777" w:rsidR="00DA265E" w:rsidRPr="00DA265E" w:rsidRDefault="00DA265E" w:rsidP="00DA265E">
      <w:pPr>
        <w:numPr>
          <w:ilvl w:val="1"/>
          <w:numId w:val="60"/>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[None]</w:t>
      </w:r>
    </w:p>
    <w:p w14:paraId="3A96A7C0"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 </w:t>
      </w:r>
    </w:p>
    <w:p w14:paraId="40AE3ADB"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i/>
          <w:iCs/>
          <w:color w:val="2D3B45"/>
          <w:kern w:val="0"/>
          <w:u w:val="single"/>
          <w14:ligatures w14:val="none"/>
        </w:rPr>
        <w:t>Week 14- November 23 THANKSGIVING- NO CLASS</w:t>
      </w:r>
    </w:p>
    <w:p w14:paraId="7714AFAF"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 </w:t>
      </w:r>
    </w:p>
    <w:p w14:paraId="6FA4BB64"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b/>
          <w:bCs/>
          <w:color w:val="2D3B45"/>
          <w:kern w:val="0"/>
          <w14:ligatures w14:val="none"/>
        </w:rPr>
        <w:t> </w:t>
      </w:r>
    </w:p>
    <w:p w14:paraId="1DB5DE0C"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b/>
          <w:bCs/>
          <w:color w:val="2D3B45"/>
          <w:kern w:val="0"/>
          <w14:ligatures w14:val="none"/>
        </w:rPr>
        <w:t>Unit 4 – Data</w:t>
      </w:r>
    </w:p>
    <w:p w14:paraId="6514296E"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u w:val="single"/>
          <w14:ligatures w14:val="none"/>
        </w:rPr>
        <w:t>Week 15- November 30: Big Data &amp; Learning Healthcare Systems</w:t>
      </w:r>
    </w:p>
    <w:p w14:paraId="51864E35"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TOPICS: Human subjects, collaboration, data management, contemporary issues, the scientist in society, data ownership, privacy</w:t>
      </w:r>
    </w:p>
    <w:p w14:paraId="28731AA7"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i/>
          <w:iCs/>
          <w:color w:val="2D3B45"/>
          <w:kern w:val="0"/>
          <w14:ligatures w14:val="none"/>
        </w:rPr>
        <w:t>Introduction – TBD</w:t>
      </w:r>
    </w:p>
    <w:p w14:paraId="62D23283" w14:textId="77777777" w:rsidR="00DA265E" w:rsidRPr="00DA265E" w:rsidRDefault="00DA265E" w:rsidP="00DA265E">
      <w:pPr>
        <w:numPr>
          <w:ilvl w:val="0"/>
          <w:numId w:val="61"/>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Big data – Jane Hartsock</w:t>
      </w:r>
    </w:p>
    <w:p w14:paraId="34E8AE1F" w14:textId="77777777" w:rsidR="00DA265E" w:rsidRPr="00DA265E" w:rsidRDefault="00DA265E" w:rsidP="00DA265E">
      <w:pPr>
        <w:numPr>
          <w:ilvl w:val="0"/>
          <w:numId w:val="61"/>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Learning Healthcare Systems – Peter Schwartz</w:t>
      </w:r>
    </w:p>
    <w:p w14:paraId="5D6CAFA1"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b/>
          <w:bCs/>
          <w:color w:val="2D3B45"/>
          <w:kern w:val="0"/>
          <w14:ligatures w14:val="none"/>
        </w:rPr>
        <w:t>REQUIRED READINGS:</w:t>
      </w:r>
    </w:p>
    <w:p w14:paraId="2D9AA18F" w14:textId="77777777" w:rsidR="00DA265E" w:rsidRPr="00DA265E" w:rsidRDefault="00DA265E" w:rsidP="00DA265E">
      <w:pPr>
        <w:numPr>
          <w:ilvl w:val="0"/>
          <w:numId w:val="62"/>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BIG DATA</w:t>
      </w:r>
    </w:p>
    <w:p w14:paraId="2034BE46" w14:textId="77777777" w:rsidR="00DA265E" w:rsidRPr="00DA265E" w:rsidRDefault="00DA265E" w:rsidP="00DA265E">
      <w:pPr>
        <w:numPr>
          <w:ilvl w:val="1"/>
          <w:numId w:val="62"/>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Harrell et al “Biobanking research and privacy laws in the US”</w:t>
      </w:r>
    </w:p>
    <w:p w14:paraId="2274364F" w14:textId="77777777" w:rsidR="00DA265E" w:rsidRPr="00DA265E" w:rsidRDefault="00DA265E" w:rsidP="00DA265E">
      <w:pPr>
        <w:numPr>
          <w:ilvl w:val="1"/>
          <w:numId w:val="62"/>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Henderson et al “Characterizing biobank organizations in the US”</w:t>
      </w:r>
    </w:p>
    <w:p w14:paraId="5F5434FC" w14:textId="77777777" w:rsidR="00DA265E" w:rsidRPr="00DA265E" w:rsidRDefault="00DA265E" w:rsidP="00DA265E">
      <w:pPr>
        <w:numPr>
          <w:ilvl w:val="1"/>
          <w:numId w:val="62"/>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McGregor et al “Inclusion of pediatric samples in an opt-out biorepository"</w:t>
      </w:r>
    </w:p>
    <w:p w14:paraId="3C81A1E8" w14:textId="77777777" w:rsidR="00DA265E" w:rsidRPr="00DA265E" w:rsidRDefault="00DA265E" w:rsidP="00DA265E">
      <w:pPr>
        <w:numPr>
          <w:ilvl w:val="0"/>
          <w:numId w:val="63"/>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LEARNING HEALTHCARE SYSTEMS</w:t>
      </w:r>
    </w:p>
    <w:p w14:paraId="542D0C82" w14:textId="77777777" w:rsidR="00DA265E" w:rsidRPr="00DA265E" w:rsidRDefault="00DA265E" w:rsidP="00DA265E">
      <w:pPr>
        <w:numPr>
          <w:ilvl w:val="1"/>
          <w:numId w:val="63"/>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Faden, R., Beauchamp, T., Kass, N. (2014). Informed Consent, Comparative Effectiveness, and Learning Health Care. </w:t>
      </w:r>
      <w:r w:rsidRPr="00DA265E">
        <w:rPr>
          <w:rFonts w:ascii="Lato" w:eastAsia="Times New Roman" w:hAnsi="Lato"/>
          <w:i/>
          <w:iCs/>
          <w:color w:val="2D3B45"/>
          <w:kern w:val="0"/>
          <w14:ligatures w14:val="none"/>
        </w:rPr>
        <w:t>The New England Journal of Medicine</w:t>
      </w:r>
      <w:r w:rsidRPr="00DA265E">
        <w:rPr>
          <w:rFonts w:ascii="Lato" w:eastAsia="Times New Roman" w:hAnsi="Lato"/>
          <w:color w:val="2D3B45"/>
          <w:kern w:val="0"/>
          <w14:ligatures w14:val="none"/>
        </w:rPr>
        <w:t>. 370(8), 766-768.</w:t>
      </w:r>
    </w:p>
    <w:p w14:paraId="5F45BF27" w14:textId="77777777" w:rsidR="00DA265E" w:rsidRPr="00DA265E" w:rsidRDefault="00DA265E" w:rsidP="00DA265E">
      <w:pPr>
        <w:numPr>
          <w:ilvl w:val="1"/>
          <w:numId w:val="63"/>
        </w:numPr>
        <w:spacing w:before="100" w:beforeAutospacing="1" w:after="100" w:afterAutospacing="1"/>
        <w:ind w:left="2190"/>
        <w:rPr>
          <w:rFonts w:ascii="Lato" w:eastAsia="Times New Roman" w:hAnsi="Lato"/>
          <w:color w:val="2D3B45"/>
          <w:kern w:val="0"/>
          <w14:ligatures w14:val="none"/>
        </w:rPr>
      </w:pPr>
      <w:r w:rsidRPr="00DA265E">
        <w:rPr>
          <w:rFonts w:ascii="Lato" w:eastAsia="Times New Roman" w:hAnsi="Lato"/>
          <w:color w:val="2D3B45"/>
          <w:kern w:val="0"/>
          <w14:ligatures w14:val="none"/>
        </w:rPr>
        <w:t>Faden, R., et al. (2013). An Ethics Framework for a Learning Health Care System: A Departure from Traditional Research Ethics and Clinical Ethics. </w:t>
      </w:r>
      <w:r w:rsidRPr="00DA265E">
        <w:rPr>
          <w:rFonts w:ascii="Lato" w:eastAsia="Times New Roman" w:hAnsi="Lato"/>
          <w:i/>
          <w:iCs/>
          <w:color w:val="2D3B45"/>
          <w:kern w:val="0"/>
          <w14:ligatures w14:val="none"/>
        </w:rPr>
        <w:t>Ethical Oversight of Learning Health Care Systems, Hastings Center Report Special Report </w:t>
      </w:r>
      <w:r w:rsidRPr="00DA265E">
        <w:rPr>
          <w:rFonts w:ascii="Lato" w:eastAsia="Times New Roman" w:hAnsi="Lato"/>
          <w:color w:val="2D3B45"/>
          <w:kern w:val="0"/>
          <w14:ligatures w14:val="none"/>
        </w:rPr>
        <w:t>43(1), S16-S27. DOI: 10.1002/hast.134</w:t>
      </w:r>
    </w:p>
    <w:p w14:paraId="11C3128A"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b/>
          <w:bCs/>
          <w:color w:val="2D3B45"/>
          <w:kern w:val="0"/>
          <w14:ligatures w14:val="none"/>
        </w:rPr>
        <w:t>OPTIONAL READINGS:</w:t>
      </w:r>
    </w:p>
    <w:p w14:paraId="03AAE3AC" w14:textId="77777777" w:rsidR="00DA265E" w:rsidRPr="00DA265E" w:rsidRDefault="00DA265E" w:rsidP="00DA265E">
      <w:pPr>
        <w:numPr>
          <w:ilvl w:val="0"/>
          <w:numId w:val="64"/>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BIG DATA</w:t>
      </w:r>
    </w:p>
    <w:p w14:paraId="4DECDF0D" w14:textId="77777777" w:rsidR="00DA265E" w:rsidRPr="00DA265E" w:rsidRDefault="00DA265E" w:rsidP="00DA265E">
      <w:pPr>
        <w:numPr>
          <w:ilvl w:val="2"/>
          <w:numId w:val="65"/>
        </w:numPr>
        <w:spacing w:before="100" w:beforeAutospacing="1" w:after="100" w:afterAutospacing="1"/>
        <w:ind w:left="3285"/>
        <w:rPr>
          <w:rFonts w:ascii="Lato" w:eastAsia="Times New Roman" w:hAnsi="Lato"/>
          <w:color w:val="2D3B45"/>
          <w:kern w:val="0"/>
          <w14:ligatures w14:val="none"/>
        </w:rPr>
      </w:pPr>
      <w:r w:rsidRPr="00DA265E">
        <w:rPr>
          <w:rFonts w:ascii="Lato" w:eastAsia="Times New Roman" w:hAnsi="Lato"/>
          <w:color w:val="2D3B45"/>
          <w:kern w:val="0"/>
          <w14:ligatures w14:val="none"/>
        </w:rPr>
        <w:lastRenderedPageBreak/>
        <w:t>[None]</w:t>
      </w:r>
    </w:p>
    <w:p w14:paraId="1335DDF3" w14:textId="77777777" w:rsidR="00DA265E" w:rsidRPr="00DA265E" w:rsidRDefault="00DA265E" w:rsidP="00DA265E">
      <w:pPr>
        <w:numPr>
          <w:ilvl w:val="0"/>
          <w:numId w:val="65"/>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LEARNING HEALTHCARE SYSTEMS</w:t>
      </w:r>
    </w:p>
    <w:p w14:paraId="14908028" w14:textId="77777777" w:rsidR="00DA265E" w:rsidRPr="00DA265E" w:rsidRDefault="00DA265E" w:rsidP="00DA265E">
      <w:pPr>
        <w:numPr>
          <w:ilvl w:val="0"/>
          <w:numId w:val="66"/>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[None]</w:t>
      </w:r>
    </w:p>
    <w:p w14:paraId="06913FF3"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b/>
          <w:bCs/>
          <w:color w:val="2D3B45"/>
          <w:kern w:val="0"/>
          <w14:ligatures w14:val="none"/>
        </w:rPr>
        <w:t>*TAKE-HOME FINAL EXAMINATION POSTED TUESDAY, DECEMBER 5*</w:t>
      </w:r>
    </w:p>
    <w:p w14:paraId="0D4EF059"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u w:val="single"/>
          <w14:ligatures w14:val="none"/>
        </w:rPr>
        <w:t>Week 16- December 7: Bias in Machine Learning</w:t>
      </w:r>
    </w:p>
    <w:p w14:paraId="28673A1C"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color w:val="2D3B45"/>
          <w:kern w:val="0"/>
          <w14:ligatures w14:val="none"/>
        </w:rPr>
        <w:t>TOPICS: Data management, the scientist in society</w:t>
      </w:r>
    </w:p>
    <w:p w14:paraId="1B2D0B5B"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i/>
          <w:iCs/>
          <w:color w:val="2D3B45"/>
          <w:kern w:val="0"/>
          <w14:ligatures w14:val="none"/>
        </w:rPr>
        <w:t>Introduction – Colin Halverson</w:t>
      </w:r>
    </w:p>
    <w:p w14:paraId="2A196AF7" w14:textId="77777777" w:rsidR="00DA265E" w:rsidRPr="00DA265E" w:rsidRDefault="00DA265E" w:rsidP="00DA265E">
      <w:pPr>
        <w:numPr>
          <w:ilvl w:val="0"/>
          <w:numId w:val="67"/>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Bias and the Ethics of Machine Learning – Erika Cheng</w:t>
      </w:r>
    </w:p>
    <w:p w14:paraId="2C295575"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i/>
          <w:iCs/>
          <w:color w:val="2D3B45"/>
          <w:kern w:val="0"/>
          <w14:ligatures w14:val="none"/>
        </w:rPr>
        <w:t>Coda – Colin Halverson</w:t>
      </w:r>
    </w:p>
    <w:p w14:paraId="48C0272B"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b/>
          <w:bCs/>
          <w:color w:val="2D3B45"/>
          <w:kern w:val="0"/>
          <w14:ligatures w14:val="none"/>
        </w:rPr>
        <w:t>REQUIRED READINGS:</w:t>
      </w:r>
    </w:p>
    <w:p w14:paraId="0EAB8945" w14:textId="77777777" w:rsidR="00DA265E" w:rsidRPr="00DA265E" w:rsidRDefault="00DA265E" w:rsidP="00DA265E">
      <w:pPr>
        <w:numPr>
          <w:ilvl w:val="0"/>
          <w:numId w:val="68"/>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BIAS AND MACHINE LEARNING</w:t>
      </w:r>
    </w:p>
    <w:p w14:paraId="65BDDE14" w14:textId="77777777" w:rsidR="00DA265E" w:rsidRPr="00DA265E" w:rsidRDefault="00DA265E" w:rsidP="00DA265E">
      <w:pPr>
        <w:numPr>
          <w:ilvl w:val="2"/>
          <w:numId w:val="69"/>
        </w:numPr>
        <w:spacing w:before="100" w:beforeAutospacing="1" w:after="100" w:afterAutospacing="1"/>
        <w:ind w:left="3285"/>
        <w:rPr>
          <w:rFonts w:ascii="Lato" w:eastAsia="Times New Roman" w:hAnsi="Lato"/>
          <w:color w:val="2D3B45"/>
          <w:kern w:val="0"/>
          <w14:ligatures w14:val="none"/>
        </w:rPr>
      </w:pPr>
      <w:r w:rsidRPr="00DA265E">
        <w:rPr>
          <w:rFonts w:ascii="Lato" w:eastAsia="Times New Roman" w:hAnsi="Lato"/>
          <w:color w:val="2D3B45"/>
          <w:kern w:val="0"/>
          <w14:ligatures w14:val="none"/>
        </w:rPr>
        <w:t>[None]</w:t>
      </w:r>
    </w:p>
    <w:p w14:paraId="3FFD8014"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b/>
          <w:bCs/>
          <w:color w:val="2D3B45"/>
          <w:kern w:val="0"/>
          <w14:ligatures w14:val="none"/>
        </w:rPr>
        <w:t>OPTIONAL READINGS:</w:t>
      </w:r>
    </w:p>
    <w:p w14:paraId="7B275ECC" w14:textId="77777777" w:rsidR="00DA265E" w:rsidRPr="00DA265E" w:rsidRDefault="00DA265E" w:rsidP="00DA265E">
      <w:pPr>
        <w:numPr>
          <w:ilvl w:val="0"/>
          <w:numId w:val="70"/>
        </w:numPr>
        <w:spacing w:before="100" w:beforeAutospacing="1" w:after="100" w:afterAutospacing="1"/>
        <w:ind w:left="1095"/>
        <w:rPr>
          <w:rFonts w:ascii="Lato" w:eastAsia="Times New Roman" w:hAnsi="Lato"/>
          <w:color w:val="2D3B45"/>
          <w:kern w:val="0"/>
          <w14:ligatures w14:val="none"/>
        </w:rPr>
      </w:pPr>
      <w:r w:rsidRPr="00DA265E">
        <w:rPr>
          <w:rFonts w:ascii="Lato" w:eastAsia="Times New Roman" w:hAnsi="Lato"/>
          <w:color w:val="2D3B45"/>
          <w:kern w:val="0"/>
          <w14:ligatures w14:val="none"/>
        </w:rPr>
        <w:t>BIAS AND MACHINE LEARNING</w:t>
      </w:r>
    </w:p>
    <w:p w14:paraId="306CA8A7" w14:textId="77777777" w:rsidR="00DA265E" w:rsidRPr="00DA265E" w:rsidRDefault="00DA265E" w:rsidP="00DA265E">
      <w:pPr>
        <w:numPr>
          <w:ilvl w:val="2"/>
          <w:numId w:val="71"/>
        </w:numPr>
        <w:spacing w:before="100" w:beforeAutospacing="1" w:after="100" w:afterAutospacing="1"/>
        <w:ind w:left="3285"/>
        <w:rPr>
          <w:rFonts w:ascii="Lato" w:eastAsia="Times New Roman" w:hAnsi="Lato"/>
          <w:color w:val="2D3B45"/>
          <w:kern w:val="0"/>
          <w14:ligatures w14:val="none"/>
        </w:rPr>
      </w:pPr>
      <w:r w:rsidRPr="00DA265E">
        <w:rPr>
          <w:rFonts w:ascii="Lato" w:eastAsia="Times New Roman" w:hAnsi="Lato"/>
          <w:color w:val="2D3B45"/>
          <w:kern w:val="0"/>
          <w14:ligatures w14:val="none"/>
        </w:rPr>
        <w:t>[None]</w:t>
      </w:r>
    </w:p>
    <w:p w14:paraId="538EE1C3" w14:textId="77777777" w:rsidR="00DA265E" w:rsidRPr="00DA265E" w:rsidRDefault="00DA265E" w:rsidP="00DA265E">
      <w:pPr>
        <w:spacing w:before="180" w:after="180"/>
        <w:rPr>
          <w:rFonts w:ascii="Lato" w:eastAsia="Times New Roman" w:hAnsi="Lato"/>
          <w:color w:val="2D3B45"/>
          <w:kern w:val="0"/>
          <w14:ligatures w14:val="none"/>
        </w:rPr>
      </w:pPr>
      <w:r w:rsidRPr="00DA265E">
        <w:rPr>
          <w:rFonts w:ascii="Lato" w:eastAsia="Times New Roman" w:hAnsi="Lato"/>
          <w:b/>
          <w:bCs/>
          <w:color w:val="2D3B45"/>
          <w:kern w:val="0"/>
          <w14:ligatures w14:val="none"/>
        </w:rPr>
        <w:t>*TAKE-HOME FINAL EXAMINATION DUE TUESDAY, DECEMBER 12*</w:t>
      </w:r>
    </w:p>
    <w:p w14:paraId="5F6F7949" w14:textId="77777777" w:rsidR="00AA4197" w:rsidRDefault="00AA4197"/>
    <w:sectPr w:rsidR="00AA4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4423"/>
    <w:multiLevelType w:val="multilevel"/>
    <w:tmpl w:val="607E1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D70FE"/>
    <w:multiLevelType w:val="multilevel"/>
    <w:tmpl w:val="12A81E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A5256"/>
    <w:multiLevelType w:val="multilevel"/>
    <w:tmpl w:val="D3B8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6646DE"/>
    <w:multiLevelType w:val="multilevel"/>
    <w:tmpl w:val="CB2C0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567C4A"/>
    <w:multiLevelType w:val="multilevel"/>
    <w:tmpl w:val="F4D06A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8271E0"/>
    <w:multiLevelType w:val="multilevel"/>
    <w:tmpl w:val="017C293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63204A"/>
    <w:multiLevelType w:val="multilevel"/>
    <w:tmpl w:val="DA58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485C56"/>
    <w:multiLevelType w:val="multilevel"/>
    <w:tmpl w:val="28689E1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DF07F0"/>
    <w:multiLevelType w:val="multilevel"/>
    <w:tmpl w:val="736E9E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1B6591"/>
    <w:multiLevelType w:val="multilevel"/>
    <w:tmpl w:val="663ECB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B034EF"/>
    <w:multiLevelType w:val="multilevel"/>
    <w:tmpl w:val="C2A84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D424D6"/>
    <w:multiLevelType w:val="multilevel"/>
    <w:tmpl w:val="C0700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866348"/>
    <w:multiLevelType w:val="multilevel"/>
    <w:tmpl w:val="0CE0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DB0B1C"/>
    <w:multiLevelType w:val="multilevel"/>
    <w:tmpl w:val="C6F640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782998"/>
    <w:multiLevelType w:val="multilevel"/>
    <w:tmpl w:val="BDE232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5059E2"/>
    <w:multiLevelType w:val="multilevel"/>
    <w:tmpl w:val="09EA99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D9541C"/>
    <w:multiLevelType w:val="multilevel"/>
    <w:tmpl w:val="DB5E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C203EC"/>
    <w:multiLevelType w:val="multilevel"/>
    <w:tmpl w:val="65CEE9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140E4D"/>
    <w:multiLevelType w:val="multilevel"/>
    <w:tmpl w:val="9E8C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752DA5"/>
    <w:multiLevelType w:val="multilevel"/>
    <w:tmpl w:val="C0EE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995FCF"/>
    <w:multiLevelType w:val="multilevel"/>
    <w:tmpl w:val="B9CA08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FB269E"/>
    <w:multiLevelType w:val="multilevel"/>
    <w:tmpl w:val="5B9E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E803CE"/>
    <w:multiLevelType w:val="multilevel"/>
    <w:tmpl w:val="56AA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4F4F75"/>
    <w:multiLevelType w:val="multilevel"/>
    <w:tmpl w:val="22383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FB33593"/>
    <w:multiLevelType w:val="multilevel"/>
    <w:tmpl w:val="225C8B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842B2E"/>
    <w:multiLevelType w:val="multilevel"/>
    <w:tmpl w:val="5DDE8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99A0EB5"/>
    <w:multiLevelType w:val="multilevel"/>
    <w:tmpl w:val="CFA699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C4325EB"/>
    <w:multiLevelType w:val="multilevel"/>
    <w:tmpl w:val="E87223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C6708BA"/>
    <w:multiLevelType w:val="multilevel"/>
    <w:tmpl w:val="0FF20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D5A6292"/>
    <w:multiLevelType w:val="multilevel"/>
    <w:tmpl w:val="6B425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EC3775F"/>
    <w:multiLevelType w:val="multilevel"/>
    <w:tmpl w:val="971A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16D3656"/>
    <w:multiLevelType w:val="multilevel"/>
    <w:tmpl w:val="787A73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19E193B"/>
    <w:multiLevelType w:val="multilevel"/>
    <w:tmpl w:val="2F5C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1E9461F"/>
    <w:multiLevelType w:val="multilevel"/>
    <w:tmpl w:val="C060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55D310C"/>
    <w:multiLevelType w:val="multilevel"/>
    <w:tmpl w:val="AD7014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56B51A6"/>
    <w:multiLevelType w:val="multilevel"/>
    <w:tmpl w:val="3B4895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7571BA5"/>
    <w:multiLevelType w:val="multilevel"/>
    <w:tmpl w:val="911A04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99D4F1B"/>
    <w:multiLevelType w:val="multilevel"/>
    <w:tmpl w:val="0CBCFA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B2162DF"/>
    <w:multiLevelType w:val="multilevel"/>
    <w:tmpl w:val="9F4E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BAB2C16"/>
    <w:multiLevelType w:val="multilevel"/>
    <w:tmpl w:val="FEF80B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C581E3E"/>
    <w:multiLevelType w:val="multilevel"/>
    <w:tmpl w:val="ABFEBB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F623876"/>
    <w:multiLevelType w:val="multilevel"/>
    <w:tmpl w:val="7A06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0551142"/>
    <w:multiLevelType w:val="multilevel"/>
    <w:tmpl w:val="65DC1A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10625AB"/>
    <w:multiLevelType w:val="multilevel"/>
    <w:tmpl w:val="9B720F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11A24BE"/>
    <w:multiLevelType w:val="multilevel"/>
    <w:tmpl w:val="7A50D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1C819C7"/>
    <w:multiLevelType w:val="multilevel"/>
    <w:tmpl w:val="602A9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3566271"/>
    <w:multiLevelType w:val="multilevel"/>
    <w:tmpl w:val="C1D20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41872A6"/>
    <w:multiLevelType w:val="multilevel"/>
    <w:tmpl w:val="45F09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5184551"/>
    <w:multiLevelType w:val="multilevel"/>
    <w:tmpl w:val="0E7CF8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6095375"/>
    <w:multiLevelType w:val="multilevel"/>
    <w:tmpl w:val="E1F2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73A0ACB"/>
    <w:multiLevelType w:val="multilevel"/>
    <w:tmpl w:val="8F9E3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8173223"/>
    <w:multiLevelType w:val="multilevel"/>
    <w:tmpl w:val="3842B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9055EC8"/>
    <w:multiLevelType w:val="multilevel"/>
    <w:tmpl w:val="D9424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A3142DE"/>
    <w:multiLevelType w:val="multilevel"/>
    <w:tmpl w:val="13C6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C044FF6"/>
    <w:multiLevelType w:val="multilevel"/>
    <w:tmpl w:val="B868E1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2812F6E"/>
    <w:multiLevelType w:val="multilevel"/>
    <w:tmpl w:val="87C28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5AF255F"/>
    <w:multiLevelType w:val="multilevel"/>
    <w:tmpl w:val="EFE6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5E24F00"/>
    <w:multiLevelType w:val="multilevel"/>
    <w:tmpl w:val="FF2499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9553A75"/>
    <w:multiLevelType w:val="multilevel"/>
    <w:tmpl w:val="C37606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ADF3277"/>
    <w:multiLevelType w:val="multilevel"/>
    <w:tmpl w:val="8DCC4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CF30271"/>
    <w:multiLevelType w:val="multilevel"/>
    <w:tmpl w:val="B84E3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D540D6A"/>
    <w:multiLevelType w:val="multilevel"/>
    <w:tmpl w:val="8F543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7316489"/>
    <w:multiLevelType w:val="multilevel"/>
    <w:tmpl w:val="2C589B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7500E5B"/>
    <w:multiLevelType w:val="multilevel"/>
    <w:tmpl w:val="B6CE7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7F257DD"/>
    <w:multiLevelType w:val="multilevel"/>
    <w:tmpl w:val="123AAA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8595392"/>
    <w:multiLevelType w:val="multilevel"/>
    <w:tmpl w:val="C4BCF9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B891A8A"/>
    <w:multiLevelType w:val="multilevel"/>
    <w:tmpl w:val="B524A4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C157E75"/>
    <w:multiLevelType w:val="multilevel"/>
    <w:tmpl w:val="4DFAD5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C4D6F0F"/>
    <w:multiLevelType w:val="multilevel"/>
    <w:tmpl w:val="BCB05F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D1B5422"/>
    <w:multiLevelType w:val="multilevel"/>
    <w:tmpl w:val="D70EEC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E236A25"/>
    <w:multiLevelType w:val="multilevel"/>
    <w:tmpl w:val="98DE2B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6134745">
    <w:abstractNumId w:val="29"/>
  </w:num>
  <w:num w:numId="2" w16cid:durableId="1775132811">
    <w:abstractNumId w:val="51"/>
  </w:num>
  <w:num w:numId="3" w16cid:durableId="1596597992">
    <w:abstractNumId w:val="63"/>
  </w:num>
  <w:num w:numId="4" w16cid:durableId="1834833023">
    <w:abstractNumId w:val="6"/>
  </w:num>
  <w:num w:numId="5" w16cid:durableId="1893227502">
    <w:abstractNumId w:val="56"/>
  </w:num>
  <w:num w:numId="6" w16cid:durableId="220606205">
    <w:abstractNumId w:val="2"/>
  </w:num>
  <w:num w:numId="7" w16cid:durableId="1584758492">
    <w:abstractNumId w:val="55"/>
  </w:num>
  <w:num w:numId="8" w16cid:durableId="1520000738">
    <w:abstractNumId w:val="14"/>
  </w:num>
  <w:num w:numId="9" w16cid:durableId="358698136">
    <w:abstractNumId w:val="28"/>
  </w:num>
  <w:num w:numId="10" w16cid:durableId="1380397202">
    <w:abstractNumId w:val="20"/>
  </w:num>
  <w:num w:numId="11" w16cid:durableId="1657763853">
    <w:abstractNumId w:val="8"/>
  </w:num>
  <w:num w:numId="12" w16cid:durableId="1552185777">
    <w:abstractNumId w:val="53"/>
  </w:num>
  <w:num w:numId="13" w16cid:durableId="1759791515">
    <w:abstractNumId w:val="42"/>
  </w:num>
  <w:num w:numId="14" w16cid:durableId="1649243582">
    <w:abstractNumId w:val="68"/>
  </w:num>
  <w:num w:numId="15" w16cid:durableId="1833253433">
    <w:abstractNumId w:val="47"/>
  </w:num>
  <w:num w:numId="16" w16cid:durableId="1083137194">
    <w:abstractNumId w:val="48"/>
  </w:num>
  <w:num w:numId="17" w16cid:durableId="554239506">
    <w:abstractNumId w:val="18"/>
  </w:num>
  <w:num w:numId="18" w16cid:durableId="754085003">
    <w:abstractNumId w:val="17"/>
  </w:num>
  <w:num w:numId="19" w16cid:durableId="647170263">
    <w:abstractNumId w:val="58"/>
  </w:num>
  <w:num w:numId="20" w16cid:durableId="683820423">
    <w:abstractNumId w:val="38"/>
  </w:num>
  <w:num w:numId="21" w16cid:durableId="1130128895">
    <w:abstractNumId w:val="0"/>
  </w:num>
  <w:num w:numId="22" w16cid:durableId="1746223007">
    <w:abstractNumId w:val="34"/>
  </w:num>
  <w:num w:numId="23" w16cid:durableId="1858957854">
    <w:abstractNumId w:val="57"/>
  </w:num>
  <w:num w:numId="24" w16cid:durableId="274675887">
    <w:abstractNumId w:val="35"/>
  </w:num>
  <w:num w:numId="25" w16cid:durableId="1065377801">
    <w:abstractNumId w:val="45"/>
  </w:num>
  <w:num w:numId="26" w16cid:durableId="1580557970">
    <w:abstractNumId w:val="62"/>
  </w:num>
  <w:num w:numId="27" w16cid:durableId="1912885907">
    <w:abstractNumId w:val="40"/>
  </w:num>
  <w:num w:numId="28" w16cid:durableId="757212076">
    <w:abstractNumId w:val="21"/>
  </w:num>
  <w:num w:numId="29" w16cid:durableId="1694959795">
    <w:abstractNumId w:val="25"/>
  </w:num>
  <w:num w:numId="30" w16cid:durableId="1124884520">
    <w:abstractNumId w:val="52"/>
  </w:num>
  <w:num w:numId="31" w16cid:durableId="1671717666">
    <w:abstractNumId w:val="22"/>
  </w:num>
  <w:num w:numId="32" w16cid:durableId="1947232059">
    <w:abstractNumId w:val="60"/>
  </w:num>
  <w:num w:numId="33" w16cid:durableId="2113667489">
    <w:abstractNumId w:val="69"/>
  </w:num>
  <w:num w:numId="34" w16cid:durableId="1118331714">
    <w:abstractNumId w:val="27"/>
  </w:num>
  <w:num w:numId="35" w16cid:durableId="925841888">
    <w:abstractNumId w:val="13"/>
  </w:num>
  <w:num w:numId="36" w16cid:durableId="302933617">
    <w:abstractNumId w:val="3"/>
  </w:num>
  <w:num w:numId="37" w16cid:durableId="86006007">
    <w:abstractNumId w:val="30"/>
  </w:num>
  <w:num w:numId="38" w16cid:durableId="919679782">
    <w:abstractNumId w:val="39"/>
  </w:num>
  <w:num w:numId="39" w16cid:durableId="1847864167">
    <w:abstractNumId w:val="1"/>
  </w:num>
  <w:num w:numId="40" w16cid:durableId="1921863014">
    <w:abstractNumId w:val="41"/>
  </w:num>
  <w:num w:numId="41" w16cid:durableId="1873224855">
    <w:abstractNumId w:val="9"/>
  </w:num>
  <w:num w:numId="42" w16cid:durableId="890965690">
    <w:abstractNumId w:val="64"/>
  </w:num>
  <w:num w:numId="43" w16cid:durableId="1612662750">
    <w:abstractNumId w:val="19"/>
  </w:num>
  <w:num w:numId="44" w16cid:durableId="1858107758">
    <w:abstractNumId w:val="37"/>
  </w:num>
  <w:num w:numId="45" w16cid:durableId="144902623">
    <w:abstractNumId w:val="26"/>
  </w:num>
  <w:num w:numId="46" w16cid:durableId="1003170583">
    <w:abstractNumId w:val="43"/>
  </w:num>
  <w:num w:numId="47" w16cid:durableId="196160035">
    <w:abstractNumId w:val="49"/>
  </w:num>
  <w:num w:numId="48" w16cid:durableId="155147770">
    <w:abstractNumId w:val="23"/>
  </w:num>
  <w:num w:numId="49" w16cid:durableId="947156790">
    <w:abstractNumId w:val="66"/>
  </w:num>
  <w:num w:numId="50" w16cid:durableId="763763808">
    <w:abstractNumId w:val="16"/>
  </w:num>
  <w:num w:numId="51" w16cid:durableId="234125287">
    <w:abstractNumId w:val="46"/>
  </w:num>
  <w:num w:numId="52" w16cid:durableId="299072394">
    <w:abstractNumId w:val="15"/>
  </w:num>
  <w:num w:numId="53" w16cid:durableId="965693425">
    <w:abstractNumId w:val="32"/>
  </w:num>
  <w:num w:numId="54" w16cid:durableId="661275004">
    <w:abstractNumId w:val="4"/>
  </w:num>
  <w:num w:numId="55" w16cid:durableId="658191450">
    <w:abstractNumId w:val="67"/>
  </w:num>
  <w:num w:numId="56" w16cid:durableId="976686813">
    <w:abstractNumId w:val="12"/>
  </w:num>
  <w:num w:numId="57" w16cid:durableId="768354920">
    <w:abstractNumId w:val="54"/>
  </w:num>
  <w:num w:numId="58" w16cid:durableId="82799422">
    <w:abstractNumId w:val="5"/>
  </w:num>
  <w:num w:numId="59" w16cid:durableId="341129826">
    <w:abstractNumId w:val="70"/>
  </w:num>
  <w:num w:numId="60" w16cid:durableId="58672369">
    <w:abstractNumId w:val="7"/>
  </w:num>
  <w:num w:numId="61" w16cid:durableId="1909682755">
    <w:abstractNumId w:val="11"/>
  </w:num>
  <w:num w:numId="62" w16cid:durableId="1287930513">
    <w:abstractNumId w:val="36"/>
  </w:num>
  <w:num w:numId="63" w16cid:durableId="823814921">
    <w:abstractNumId w:val="65"/>
  </w:num>
  <w:num w:numId="64" w16cid:durableId="193929215">
    <w:abstractNumId w:val="10"/>
  </w:num>
  <w:num w:numId="65" w16cid:durableId="1659773769">
    <w:abstractNumId w:val="31"/>
  </w:num>
  <w:num w:numId="66" w16cid:durableId="928123979">
    <w:abstractNumId w:val="44"/>
  </w:num>
  <w:num w:numId="67" w16cid:durableId="831719139">
    <w:abstractNumId w:val="33"/>
  </w:num>
  <w:num w:numId="68" w16cid:durableId="427317109">
    <w:abstractNumId w:val="50"/>
  </w:num>
  <w:num w:numId="69" w16cid:durableId="1750542557">
    <w:abstractNumId w:val="59"/>
  </w:num>
  <w:num w:numId="70" w16cid:durableId="1089960121">
    <w:abstractNumId w:val="61"/>
  </w:num>
  <w:num w:numId="71" w16cid:durableId="212056428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5E"/>
    <w:rsid w:val="00AA4197"/>
    <w:rsid w:val="00DA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54473F"/>
  <w15:chartTrackingRefBased/>
  <w15:docId w15:val="{DF401757-48D4-FA4A-9143-4C0BE2CB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A265E"/>
    <w:pPr>
      <w:spacing w:before="100" w:beforeAutospacing="1" w:after="100" w:afterAutospacing="1"/>
      <w:outlineLvl w:val="1"/>
    </w:pPr>
    <w:rPr>
      <w:rFonts w:eastAsia="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265E"/>
    <w:rPr>
      <w:rFonts w:eastAsia="Times New Roman"/>
      <w:b/>
      <w:bCs/>
      <w:kern w:val="0"/>
      <w:sz w:val="36"/>
      <w:szCs w:val="36"/>
      <w14:ligatures w14:val="none"/>
    </w:rPr>
  </w:style>
  <w:style w:type="paragraph" w:styleId="NormalWeb">
    <w:name w:val="Normal (Web)"/>
    <w:basedOn w:val="Normal"/>
    <w:uiPriority w:val="99"/>
    <w:semiHidden/>
    <w:unhideWhenUsed/>
    <w:rsid w:val="00DA265E"/>
    <w:pPr>
      <w:spacing w:before="100" w:beforeAutospacing="1" w:after="100" w:afterAutospacing="1"/>
    </w:pPr>
    <w:rPr>
      <w:rFonts w:eastAsia="Times New Roman"/>
      <w:kern w:val="0"/>
      <w14:ligatures w14:val="none"/>
    </w:rPr>
  </w:style>
  <w:style w:type="character" w:styleId="Strong">
    <w:name w:val="Strong"/>
    <w:basedOn w:val="DefaultParagraphFont"/>
    <w:uiPriority w:val="22"/>
    <w:qFormat/>
    <w:rsid w:val="00DA265E"/>
    <w:rPr>
      <w:b/>
      <w:bCs/>
    </w:rPr>
  </w:style>
  <w:style w:type="character" w:styleId="Hyperlink">
    <w:name w:val="Hyperlink"/>
    <w:basedOn w:val="DefaultParagraphFont"/>
    <w:uiPriority w:val="99"/>
    <w:semiHidden/>
    <w:unhideWhenUsed/>
    <w:rsid w:val="00DA265E"/>
    <w:rPr>
      <w:color w:val="0000FF"/>
      <w:u w:val="single"/>
    </w:rPr>
  </w:style>
  <w:style w:type="character" w:styleId="Emphasis">
    <w:name w:val="Emphasis"/>
    <w:basedOn w:val="DefaultParagraphFont"/>
    <w:uiPriority w:val="20"/>
    <w:qFormat/>
    <w:rsid w:val="00DA265E"/>
    <w:rPr>
      <w:i/>
      <w:iCs/>
    </w:rPr>
  </w:style>
  <w:style w:type="character" w:customStyle="1" w:styleId="screenreader-only">
    <w:name w:val="screenreader-only"/>
    <w:basedOn w:val="DefaultParagraphFont"/>
    <w:rsid w:val="00DA265E"/>
  </w:style>
  <w:style w:type="character" w:customStyle="1" w:styleId="apple-converted-space">
    <w:name w:val="apple-converted-space"/>
    <w:basedOn w:val="DefaultParagraphFont"/>
    <w:rsid w:val="00DA2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539039">
      <w:bodyDiv w:val="1"/>
      <w:marLeft w:val="0"/>
      <w:marRight w:val="0"/>
      <w:marTop w:val="0"/>
      <w:marBottom w:val="0"/>
      <w:divBdr>
        <w:top w:val="none" w:sz="0" w:space="0" w:color="auto"/>
        <w:left w:val="none" w:sz="0" w:space="0" w:color="auto"/>
        <w:bottom w:val="none" w:sz="0" w:space="0" w:color="auto"/>
        <w:right w:val="none" w:sz="0" w:space="0" w:color="auto"/>
      </w:divBdr>
      <w:divsChild>
        <w:div w:id="856621621">
          <w:marLeft w:val="0"/>
          <w:marRight w:val="0"/>
          <w:marTop w:val="0"/>
          <w:marBottom w:val="360"/>
          <w:divBdr>
            <w:top w:val="none" w:sz="0" w:space="0" w:color="auto"/>
            <w:left w:val="none" w:sz="0" w:space="0" w:color="auto"/>
            <w:bottom w:val="none" w:sz="0" w:space="0" w:color="auto"/>
            <w:right w:val="none" w:sz="0" w:space="0" w:color="auto"/>
          </w:divBdr>
          <w:divsChild>
            <w:div w:id="816335858">
              <w:marLeft w:val="0"/>
              <w:marRight w:val="0"/>
              <w:marTop w:val="0"/>
              <w:marBottom w:val="0"/>
              <w:divBdr>
                <w:top w:val="none" w:sz="0" w:space="0" w:color="auto"/>
                <w:left w:val="none" w:sz="0" w:space="0" w:color="auto"/>
                <w:bottom w:val="none" w:sz="0" w:space="0" w:color="auto"/>
                <w:right w:val="none" w:sz="0" w:space="0" w:color="auto"/>
              </w:divBdr>
            </w:div>
          </w:divsChild>
        </w:div>
        <w:div w:id="1871331367">
          <w:marLeft w:val="0"/>
          <w:marRight w:val="0"/>
          <w:marTop w:val="0"/>
          <w:marBottom w:val="150"/>
          <w:divBdr>
            <w:top w:val="none" w:sz="0" w:space="0" w:color="auto"/>
            <w:left w:val="none" w:sz="0" w:space="0" w:color="auto"/>
            <w:bottom w:val="none" w:sz="0" w:space="0" w:color="auto"/>
            <w:right w:val="none" w:sz="0" w:space="0" w:color="auto"/>
          </w:divBdr>
          <w:divsChild>
            <w:div w:id="934286840">
              <w:marLeft w:val="0"/>
              <w:marRight w:val="0"/>
              <w:marTop w:val="0"/>
              <w:marBottom w:val="0"/>
              <w:divBdr>
                <w:top w:val="none" w:sz="0" w:space="0" w:color="auto"/>
                <w:left w:val="none" w:sz="0" w:space="0" w:color="auto"/>
                <w:bottom w:val="none" w:sz="0" w:space="0" w:color="auto"/>
                <w:right w:val="none" w:sz="0" w:space="0" w:color="auto"/>
              </w:divBdr>
              <w:divsChild>
                <w:div w:id="1177576963">
                  <w:marLeft w:val="0"/>
                  <w:marRight w:val="0"/>
                  <w:marTop w:val="0"/>
                  <w:marBottom w:val="0"/>
                  <w:divBdr>
                    <w:top w:val="none" w:sz="0" w:space="0" w:color="auto"/>
                    <w:left w:val="none" w:sz="0" w:space="0" w:color="auto"/>
                    <w:bottom w:val="none" w:sz="0" w:space="0" w:color="auto"/>
                    <w:right w:val="none" w:sz="0" w:space="0" w:color="auto"/>
                  </w:divBdr>
                  <w:divsChild>
                    <w:div w:id="112944207">
                      <w:marLeft w:val="0"/>
                      <w:marRight w:val="0"/>
                      <w:marTop w:val="0"/>
                      <w:marBottom w:val="0"/>
                      <w:divBdr>
                        <w:top w:val="none" w:sz="0" w:space="0" w:color="auto"/>
                        <w:left w:val="none" w:sz="0" w:space="0" w:color="auto"/>
                        <w:bottom w:val="none" w:sz="0" w:space="0" w:color="auto"/>
                        <w:right w:val="none" w:sz="0" w:space="0" w:color="auto"/>
                      </w:divBdr>
                      <w:divsChild>
                        <w:div w:id="144765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i.hhs.gov/federal-research-misconduct-policy" TargetMode="External"/><Relationship Id="rId18" Type="http://schemas.openxmlformats.org/officeDocument/2006/relationships/hyperlink" Target="https://www.nature.com/articles/d41586-021-02035-2" TargetMode="External"/><Relationship Id="rId26" Type="http://schemas.openxmlformats.org/officeDocument/2006/relationships/hyperlink" Target="https://www.ecfr.gov/cgi-bin/retrieveECFR?gp=&amp;SID=83cd09e1c0f5c6937cd9d7513160fc3f&amp;pitd=20180719&amp;n=pt45.1.46&amp;r=PART&amp;ty=HTML" TargetMode="External"/><Relationship Id="rId39" Type="http://schemas.openxmlformats.org/officeDocument/2006/relationships/hyperlink" Target="https://cioms.ch/wp-content/uploads/2017/01/WEB-CIOMS-EthicalGuidelines.pdf" TargetMode="External"/><Relationship Id="rId21" Type="http://schemas.openxmlformats.org/officeDocument/2006/relationships/hyperlink" Target="https://policies.iu.edu/policies/ua-17-conflicts-of-interest-commitment/index.html" TargetMode="External"/><Relationship Id="rId34" Type="http://schemas.openxmlformats.org/officeDocument/2006/relationships/hyperlink" Target="https://youtu.be/6yaKwLG_vlE" TargetMode="External"/><Relationship Id="rId42" Type="http://schemas.openxmlformats.org/officeDocument/2006/relationships/hyperlink" Target="https://www.liebertpub.com/doi/epdf/10.1089/rej.2018.2059" TargetMode="External"/><Relationship Id="rId47" Type="http://schemas.openxmlformats.org/officeDocument/2006/relationships/theme" Target="theme/theme1.xml"/><Relationship Id="rId7" Type="http://schemas.openxmlformats.org/officeDocument/2006/relationships/hyperlink" Target="mailto:mbettag@iu.edu" TargetMode="External"/><Relationship Id="rId2" Type="http://schemas.openxmlformats.org/officeDocument/2006/relationships/styles" Target="styles.xml"/><Relationship Id="rId16" Type="http://schemas.openxmlformats.org/officeDocument/2006/relationships/hyperlink" Target="http://www.icmje.org/recommendations/browse/roles-and-responsibilities/defining-the-role-of-authors-and-contributors.html" TargetMode="External"/><Relationship Id="rId29" Type="http://schemas.openxmlformats.org/officeDocument/2006/relationships/hyperlink" Target="https://www.accessdata.fda.gov/scripts/cdrh/cfdocs/cfcfr/CFRSearch.cfm?CFRPart=56" TargetMode="External"/><Relationship Id="rId1" Type="http://schemas.openxmlformats.org/officeDocument/2006/relationships/numbering" Target="numbering.xml"/><Relationship Id="rId6" Type="http://schemas.openxmlformats.org/officeDocument/2006/relationships/hyperlink" Target="mailto:pielogan@iu.edu" TargetMode="External"/><Relationship Id="rId11" Type="http://schemas.openxmlformats.org/officeDocument/2006/relationships/hyperlink" Target="http://literaryclub.org/sitebuildercontent/sitebuilderfiles/sjjay.pdf" TargetMode="External"/><Relationship Id="rId24" Type="http://schemas.openxmlformats.org/officeDocument/2006/relationships/hyperlink" Target="https://www.bmj.com/content/374/bmj.n1726" TargetMode="External"/><Relationship Id="rId32" Type="http://schemas.openxmlformats.org/officeDocument/2006/relationships/image" Target="media/image1.png"/><Relationship Id="rId37" Type="http://schemas.openxmlformats.org/officeDocument/2006/relationships/hyperlink" Target="https://www.youtube.com/watch?v=8EcCjmZLp94" TargetMode="External"/><Relationship Id="rId40" Type="http://schemas.openxmlformats.org/officeDocument/2006/relationships/hyperlink" Target="https://cioms.ch/wp-content/uploads/2016/08/International_Ethical_Guidelines_for_Biomedical_Research_Involving_Human_Subjects.pdf" TargetMode="External"/><Relationship Id="rId45" Type="http://schemas.openxmlformats.org/officeDocument/2006/relationships/hyperlink" Target="https://grants.nih.gov/grants/policy/questionablecapacity.htm" TargetMode="External"/><Relationship Id="rId5" Type="http://schemas.openxmlformats.org/officeDocument/2006/relationships/hyperlink" Target="mailto:chalver@iu.edu" TargetMode="External"/><Relationship Id="rId15" Type="http://schemas.openxmlformats.org/officeDocument/2006/relationships/hyperlink" Target="https://www.the-scientist.com/infographics/timeline-when-bad-research-changes-public-health-strategy-67971" TargetMode="External"/><Relationship Id="rId23" Type="http://schemas.openxmlformats.org/officeDocument/2006/relationships/hyperlink" Target="https://ascopubs.org/doi/pdf/10.1200/JCO.22.01357" TargetMode="External"/><Relationship Id="rId28" Type="http://schemas.openxmlformats.org/officeDocument/2006/relationships/hyperlink" Target="https://ascopubs.org/doi/pdf/10.1200/JCO.22.01357" TargetMode="External"/><Relationship Id="rId36" Type="http://schemas.openxmlformats.org/officeDocument/2006/relationships/hyperlink" Target="https://reader.elsevier.com/reader/sd/pii/S1054139X14001608?token=3F29F69B96D1D4445F210C09FB14C720193E42500C0A905D0F810B89AE388964AFE67AABF7C28D8C635DEF044E7B60D9" TargetMode="External"/><Relationship Id="rId10" Type="http://schemas.openxmlformats.org/officeDocument/2006/relationships/hyperlink" Target="https://news.virginia.edu/content/walter-reed-and-scourge-yellow-fever" TargetMode="External"/><Relationship Id="rId19" Type="http://schemas.openxmlformats.org/officeDocument/2006/relationships/hyperlink" Target="https://policies.iu.edu/policies/ua-17-conflicts-of-interest-commitment/index.html" TargetMode="External"/><Relationship Id="rId31" Type="http://schemas.openxmlformats.org/officeDocument/2006/relationships/hyperlink" Target="https://www.youtube.com/watch?v=e2k6eA0dn9Q" TargetMode="External"/><Relationship Id="rId44" Type="http://schemas.openxmlformats.org/officeDocument/2006/relationships/hyperlink" Target="https://www.openaccessjournals.com/articles/from-no-to-yes-the-history-and-ethics-of-including-pregnant-women-in-clinical-trials.pdf" TargetMode="External"/><Relationship Id="rId4" Type="http://schemas.openxmlformats.org/officeDocument/2006/relationships/webSettings" Target="webSettings.xml"/><Relationship Id="rId9" Type="http://schemas.openxmlformats.org/officeDocument/2006/relationships/hyperlink" Target="https://www.hhs.gov/ohrp/regulations-and-policy/belmont-report/read-the-belmont-report/index.html" TargetMode="External"/><Relationship Id="rId14" Type="http://schemas.openxmlformats.org/officeDocument/2006/relationships/hyperlink" Target="https://policies.iu.edu/policies/aca-30-research-misconduct/index.html" TargetMode="External"/><Relationship Id="rId22" Type="http://schemas.openxmlformats.org/officeDocument/2006/relationships/hyperlink" Target="https://khn.org/news/article/national-academies-big-pharma-support-drug-waste-report/" TargetMode="External"/><Relationship Id="rId27" Type="http://schemas.openxmlformats.org/officeDocument/2006/relationships/hyperlink" Target="https://www.hhs.gov/ohrp/regulations-and-policy/belmont-report/read-the-belmont-report/index.html" TargetMode="External"/><Relationship Id="rId30" Type="http://schemas.openxmlformats.org/officeDocument/2006/relationships/hyperlink" Target="https://research.iu.edu/policies/human-subjects-irb/index.html" TargetMode="External"/><Relationship Id="rId35" Type="http://schemas.openxmlformats.org/officeDocument/2006/relationships/hyperlink" Target="https://reader.elsevier.com/reader/sd/pii/S1054139X14000597?token=E885CEFA75146D3FA2382D0C03BA4A75E3D4528887A1167E46908A1F1367069941B4083AE10534BD6E4324AF0ECFFF9A" TargetMode="External"/><Relationship Id="rId43" Type="http://schemas.openxmlformats.org/officeDocument/2006/relationships/hyperlink" Target="https://www.ecfr.gov/cgi-bin/text-idx?SID=608364068aac51ec4b8f6d83064b92df&amp;mc=true&amp;node=sp45.1.46.c&amp;rgn=div6" TargetMode="External"/><Relationship Id="rId8" Type="http://schemas.openxmlformats.org/officeDocument/2006/relationships/hyperlink" Target="mailto:pielogan@iu.edu" TargetMode="External"/><Relationship Id="rId3" Type="http://schemas.openxmlformats.org/officeDocument/2006/relationships/settings" Target="settings.xml"/><Relationship Id="rId12" Type="http://schemas.openxmlformats.org/officeDocument/2006/relationships/hyperlink" Target="https://www.ncbi.nlm.nih.gov/pmc/articles/PMC3601698/" TargetMode="External"/><Relationship Id="rId17" Type="http://schemas.openxmlformats.org/officeDocument/2006/relationships/hyperlink" Target="https://www.the-scientist.com/news-opinion/the-top-retractions-of-2019-66852" TargetMode="External"/><Relationship Id="rId25" Type="http://schemas.openxmlformats.org/officeDocument/2006/relationships/hyperlink" Target="https://www.aamc.org/news/why-do-people-believe-medical-misinformation" TargetMode="External"/><Relationship Id="rId33" Type="http://schemas.openxmlformats.org/officeDocument/2006/relationships/hyperlink" Target="https://www.ted.com/talks/sarah_jayne_blakemore_the_mysterious_workings_of_the_adolescent_brain?language=en" TargetMode="External"/><Relationship Id="rId38" Type="http://schemas.openxmlformats.org/officeDocument/2006/relationships/hyperlink" Target="https://research.iu.edu/policies/human-subjects-irb/children-in-research.html" TargetMode="External"/><Relationship Id="rId46" Type="http://schemas.openxmlformats.org/officeDocument/2006/relationships/fontTable" Target="fontTable.xml"/><Relationship Id="rId20" Type="http://schemas.openxmlformats.org/officeDocument/2006/relationships/hyperlink" Target="https://medicine.iu.edu/about/policies-guidelines/industry-relations/" TargetMode="External"/><Relationship Id="rId41" Type="http://schemas.openxmlformats.org/officeDocument/2006/relationships/hyperlink" Target="https://www.theatlantic.com/technology/archive/2013/03/consider-the-lobster-claw-why-a-twist-on-an-arcade-classic-delights-and-disturbs-us/2739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4812</Words>
  <Characters>27429</Characters>
  <Application>Microsoft Office Word</Application>
  <DocSecurity>0</DocSecurity>
  <Lines>228</Lines>
  <Paragraphs>64</Paragraphs>
  <ScaleCrop>false</ScaleCrop>
  <Company/>
  <LinksUpToDate>false</LinksUpToDate>
  <CharactersWithSpaces>32177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Pierce John</dc:creator>
  <cp:keywords/>
  <dc:description/>
  <cp:lastModifiedBy>Logan, Pierce John</cp:lastModifiedBy>
  <cp:revision>1</cp:revision>
  <dcterms:created xsi:type="dcterms:W3CDTF">2023-11-17T21:41:00Z</dcterms:created>
  <dcterms:modified xsi:type="dcterms:W3CDTF">2023-11-17T21:41:00Z</dcterms:modified>
</cp:coreProperties>
</file>